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2" w:lineRule="exact"/>
        <w:jc w:val="center"/>
        <w:rPr>
          <w:rFonts w:hint="eastAsia" w:ascii="方正仿宋简体" w:hAnsi="方正仿宋简体" w:eastAsia="方正仿宋简体" w:cs="方正仿宋简体"/>
          <w:sz w:val="32"/>
          <w:szCs w:val="32"/>
        </w:rPr>
      </w:pPr>
    </w:p>
    <w:p>
      <w:pPr>
        <w:spacing w:line="592" w:lineRule="exact"/>
        <w:jc w:val="center"/>
        <w:rPr>
          <w:rFonts w:hint="eastAsia" w:ascii="方正小标宋简体" w:eastAsia="方正小标宋简体"/>
          <w:sz w:val="44"/>
          <w:szCs w:val="44"/>
        </w:rPr>
      </w:pPr>
      <w:r>
        <w:rPr>
          <w:rFonts w:hint="eastAsia" w:ascii="方正小标宋简体" w:eastAsia="方正小标宋简体"/>
          <w:sz w:val="44"/>
          <w:szCs w:val="44"/>
        </w:rPr>
        <w:t>那曲市关于</w:t>
      </w:r>
      <w:r>
        <w:rPr>
          <w:rFonts w:hint="eastAsia" w:ascii="Times New Roman" w:hAnsi="Times New Roman" w:eastAsia="方正小标宋简体"/>
          <w:sz w:val="44"/>
          <w:szCs w:val="44"/>
        </w:rPr>
        <w:t>2025</w:t>
      </w:r>
      <w:r>
        <w:rPr>
          <w:rFonts w:hint="eastAsia" w:ascii="方正小标宋简体" w:eastAsia="方正小标宋简体"/>
          <w:sz w:val="44"/>
          <w:szCs w:val="44"/>
        </w:rPr>
        <w:t>年度全面实施预算</w:t>
      </w:r>
    </w:p>
    <w:p>
      <w:pPr>
        <w:spacing w:line="592" w:lineRule="exact"/>
        <w:jc w:val="center"/>
        <w:rPr>
          <w:rFonts w:hint="eastAsia" w:ascii="方正小标宋简体" w:eastAsia="方正小标宋简体"/>
          <w:sz w:val="44"/>
          <w:szCs w:val="44"/>
          <w:lang w:val="en-US" w:eastAsia="zh-CN"/>
        </w:rPr>
      </w:pPr>
      <w:r>
        <w:rPr>
          <w:rFonts w:hint="eastAsia" w:ascii="方正小标宋简体" w:eastAsia="方正小标宋简体"/>
          <w:sz w:val="44"/>
          <w:szCs w:val="44"/>
        </w:rPr>
        <w:t>绩效管理的工作</w:t>
      </w:r>
      <w:r>
        <w:rPr>
          <w:rFonts w:hint="eastAsia" w:ascii="方正小标宋简体" w:eastAsia="方正小标宋简体"/>
          <w:sz w:val="44"/>
          <w:szCs w:val="44"/>
          <w:lang w:eastAsia="zh-CN"/>
        </w:rPr>
        <w:t>开展情况</w:t>
      </w:r>
      <w:bookmarkStart w:id="0" w:name="_GoBack"/>
      <w:bookmarkEnd w:id="0"/>
    </w:p>
    <w:p>
      <w:pPr>
        <w:spacing w:line="592" w:lineRule="exact"/>
        <w:jc w:val="center"/>
        <w:rPr>
          <w:rFonts w:hint="eastAsia" w:ascii="方正小标宋简体" w:eastAsia="方正小标宋简体"/>
          <w:sz w:val="44"/>
          <w:szCs w:val="44"/>
        </w:rPr>
      </w:pPr>
    </w:p>
    <w:p>
      <w:pPr>
        <w:spacing w:line="592" w:lineRule="exact"/>
        <w:ind w:firstLine="640" w:firstLineChars="200"/>
        <w:rPr>
          <w:rFonts w:hint="eastAsia" w:ascii="Times New Roman" w:hAnsi="Times New Roman" w:eastAsia="方正仿宋简体" w:cs="Times New Roman"/>
          <w:sz w:val="32"/>
          <w:szCs w:val="32"/>
        </w:rPr>
      </w:pPr>
      <w:r>
        <w:rPr>
          <w:rFonts w:hint="eastAsia" w:ascii="Times New Roman" w:hAnsi="Times New Roman" w:eastAsia="方正仿宋简体"/>
          <w:sz w:val="32"/>
          <w:szCs w:val="32"/>
        </w:rPr>
        <w:t>2025</w:t>
      </w:r>
      <w:r>
        <w:rPr>
          <w:rFonts w:hint="eastAsia" w:ascii="方正仿宋简体" w:eastAsia="方正仿宋简体"/>
          <w:sz w:val="32"/>
          <w:szCs w:val="32"/>
        </w:rPr>
        <w:t>年以来</w:t>
      </w:r>
      <w:r>
        <w:rPr>
          <w:rFonts w:ascii="方正仿宋简体" w:eastAsia="方正仿宋简体"/>
          <w:sz w:val="32"/>
          <w:szCs w:val="32"/>
        </w:rPr>
        <w:t>，</w:t>
      </w:r>
      <w:r>
        <w:rPr>
          <w:rFonts w:hint="eastAsia" w:ascii="方正仿宋简体" w:eastAsia="方正仿宋简体"/>
          <w:sz w:val="32"/>
          <w:szCs w:val="32"/>
          <w:lang w:eastAsia="zh-CN"/>
        </w:rPr>
        <w:t>那曲市</w:t>
      </w:r>
      <w:r>
        <w:rPr>
          <w:rFonts w:hint="eastAsia" w:ascii="方正仿宋简体" w:eastAsia="方正仿宋简体"/>
          <w:sz w:val="32"/>
          <w:szCs w:val="32"/>
        </w:rPr>
        <w:t>全面</w:t>
      </w:r>
      <w:r>
        <w:rPr>
          <w:rFonts w:hint="eastAsia" w:ascii="方正仿宋简体" w:eastAsia="方正仿宋简体"/>
          <w:sz w:val="32"/>
          <w:szCs w:val="32"/>
          <w:lang w:eastAsia="zh-CN"/>
        </w:rPr>
        <w:t>贯彻</w:t>
      </w:r>
      <w:r>
        <w:rPr>
          <w:rFonts w:ascii="方正仿宋简体" w:eastAsia="方正仿宋简体"/>
          <w:sz w:val="32"/>
          <w:szCs w:val="32"/>
        </w:rPr>
        <w:t>落实</w:t>
      </w:r>
      <w:r>
        <w:rPr>
          <w:rFonts w:hint="eastAsia" w:ascii="方正仿宋简体" w:eastAsia="方正仿宋简体"/>
          <w:sz w:val="32"/>
          <w:szCs w:val="32"/>
        </w:rPr>
        <w:t>自治区</w:t>
      </w:r>
      <w:r>
        <w:rPr>
          <w:rFonts w:ascii="方正仿宋简体" w:eastAsia="方正仿宋简体"/>
          <w:sz w:val="32"/>
          <w:szCs w:val="32"/>
        </w:rPr>
        <w:t>党委、政府关于全面实施预算绩效管理</w:t>
      </w:r>
      <w:r>
        <w:rPr>
          <w:rFonts w:hint="eastAsia" w:ascii="方正仿宋简体" w:eastAsia="方正仿宋简体"/>
          <w:sz w:val="32"/>
          <w:szCs w:val="32"/>
          <w:lang w:eastAsia="zh-CN"/>
        </w:rPr>
        <w:t>的</w:t>
      </w:r>
      <w:r>
        <w:rPr>
          <w:rFonts w:hint="eastAsia" w:ascii="方正仿宋简体" w:eastAsia="方正仿宋简体"/>
          <w:sz w:val="32"/>
          <w:szCs w:val="32"/>
        </w:rPr>
        <w:t>决策</w:t>
      </w:r>
      <w:r>
        <w:rPr>
          <w:rFonts w:ascii="方正仿宋简体" w:eastAsia="方正仿宋简体"/>
          <w:sz w:val="32"/>
          <w:szCs w:val="32"/>
        </w:rPr>
        <w:t>部署，</w:t>
      </w:r>
      <w:r>
        <w:rPr>
          <w:rFonts w:hint="eastAsia" w:ascii="方正仿宋简体" w:eastAsia="方正仿宋简体"/>
          <w:sz w:val="32"/>
          <w:szCs w:val="32"/>
          <w:lang w:eastAsia="zh-CN"/>
        </w:rPr>
        <w:t>紧紧围绕市委、市政府中心工作，以提升财政资源配置效率和使用效益为核心，着力构建“全方位、全过程、全覆盖”的预算绩效管理体系，推动全市预算绩效管理工作迈上新台阶，为奋力谱写中国式现代化那曲新篇章提供了坚实的财政保障。根据相关工作要求，</w:t>
      </w:r>
      <w:r>
        <w:rPr>
          <w:rFonts w:ascii="Times New Roman" w:hAnsi="Times New Roman" w:eastAsia="方正仿宋简体" w:cs="Times New Roman"/>
          <w:sz w:val="32"/>
          <w:szCs w:val="32"/>
        </w:rPr>
        <w:t>现将那曲市2025年度全面实施预算绩效管理工作开展情况报告如下：</w:t>
      </w:r>
    </w:p>
    <w:p>
      <w:pPr>
        <w:spacing w:line="592"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一、提高政治站位，强化高位推动，绩效管理格局全面形成</w:t>
      </w:r>
    </w:p>
    <w:p>
      <w:pPr>
        <w:spacing w:line="592" w:lineRule="exact"/>
        <w:ind w:firstLine="640" w:firstLineChars="200"/>
        <w:rPr>
          <w:rFonts w:hint="eastAsia" w:ascii="Times New Roman" w:hAnsi="Times New Roman" w:eastAsia="方正仿宋简体"/>
          <w:sz w:val="32"/>
          <w:szCs w:val="32"/>
          <w:lang w:eastAsia="zh-CN"/>
        </w:rPr>
      </w:pPr>
      <w:r>
        <w:rPr>
          <w:rFonts w:hint="eastAsia" w:ascii="Times New Roman" w:hAnsi="Times New Roman" w:eastAsia="方正仿宋简体"/>
          <w:sz w:val="32"/>
          <w:szCs w:val="32"/>
          <w:lang w:eastAsia="zh-CN"/>
        </w:rPr>
        <w:t>市委、市政府始终将全面实施预算绩效管理摆在突出位置，将其作为推进社会治理现代化、保障经济社会高质量发展的重要抓手。</w:t>
      </w:r>
    </w:p>
    <w:p>
      <w:pPr>
        <w:spacing w:line="592" w:lineRule="exact"/>
        <w:ind w:firstLine="640" w:firstLineChars="200"/>
        <w:rPr>
          <w:rFonts w:hint="eastAsia" w:ascii="方正仿宋简体" w:hAnsi="方正仿宋简体" w:eastAsia="方正仿宋简体" w:cs="方正仿宋简体"/>
          <w:sz w:val="32"/>
          <w:szCs w:val="32"/>
          <w:lang w:eastAsia="zh-CN"/>
        </w:rPr>
      </w:pPr>
      <w:r>
        <w:rPr>
          <w:rFonts w:hint="eastAsia" w:ascii="楷体" w:hAnsi="楷体" w:eastAsia="楷体" w:cs="楷体"/>
          <w:sz w:val="32"/>
          <w:szCs w:val="32"/>
          <w:lang w:eastAsia="zh-CN"/>
        </w:rPr>
        <w:t>（一）坚持高位部署推动。</w:t>
      </w:r>
      <w:r>
        <w:rPr>
          <w:rFonts w:hint="eastAsia" w:ascii="方正仿宋简体" w:hAnsi="方正仿宋简体" w:eastAsia="方正仿宋简体" w:cs="方正仿宋简体"/>
          <w:sz w:val="32"/>
          <w:szCs w:val="32"/>
          <w:lang w:eastAsia="zh-CN"/>
        </w:rPr>
        <w:t>市委、市政府主要领导亲自谋划、亲自部署，将全面实施预算绩效管理改革纳入全市深化改革重点任务和年度政府工作报告中予以强调。全年市政府常务会议多次专题研究预算绩效管理工作，审议关键制度文件，听取重点支出绩效评价情况汇报，高位部署推进预算绩效管理改革任务。</w:t>
      </w:r>
    </w:p>
    <w:p>
      <w:pPr>
        <w:spacing w:line="592" w:lineRule="exact"/>
        <w:ind w:firstLine="640" w:firstLineChars="200"/>
        <w:rPr>
          <w:rFonts w:hint="eastAsia" w:ascii="方正仿宋简体" w:hAnsi="方正仿宋简体" w:eastAsia="方正仿宋简体" w:cs="方正仿宋简体"/>
          <w:sz w:val="32"/>
          <w:szCs w:val="32"/>
          <w:lang w:eastAsia="zh-CN"/>
        </w:rPr>
      </w:pPr>
      <w:r>
        <w:rPr>
          <w:rFonts w:hint="eastAsia" w:ascii="楷体" w:hAnsi="楷体" w:eastAsia="楷体" w:cs="楷体"/>
          <w:sz w:val="32"/>
          <w:szCs w:val="32"/>
          <w:lang w:eastAsia="zh-CN"/>
        </w:rPr>
        <w:t>（二）夯实精准施策根基。</w:t>
      </w:r>
      <w:r>
        <w:rPr>
          <w:rFonts w:hint="eastAsia" w:ascii="方正仿宋简体" w:hAnsi="方正仿宋简体" w:eastAsia="方正仿宋简体" w:cs="方正仿宋简体"/>
          <w:sz w:val="32"/>
          <w:szCs w:val="32"/>
          <w:lang w:eastAsia="zh-CN"/>
        </w:rPr>
        <w:t>市领导专门率队赴部分县（区）和市直部门开展专题调研，充分掌握重点领域财政资金使用情况和效益发挥情况，重点关注资金拨付进度与项目实施进度的协同效率，实地了解基层实践难点，听取意见建议，为精准高效开展预算绩效管理工作提供了第一手资料。</w:t>
      </w:r>
    </w:p>
    <w:p>
      <w:pPr>
        <w:spacing w:line="592" w:lineRule="exact"/>
        <w:ind w:firstLine="640" w:firstLineChars="200"/>
        <w:rPr>
          <w:rFonts w:ascii="方正仿宋简体" w:eastAsia="方正仿宋简体"/>
          <w:sz w:val="32"/>
          <w:szCs w:val="32"/>
        </w:rPr>
      </w:pPr>
      <w:r>
        <w:rPr>
          <w:rFonts w:hint="eastAsia" w:ascii="楷体" w:hAnsi="楷体" w:eastAsia="楷体" w:cs="楷体"/>
          <w:sz w:val="32"/>
          <w:szCs w:val="32"/>
          <w:lang w:eastAsia="zh-CN"/>
        </w:rPr>
        <w:t>（三）全面压实主体责任。</w:t>
      </w:r>
      <w:r>
        <w:rPr>
          <w:rFonts w:hint="eastAsia" w:ascii="方正仿宋简体" w:hAnsi="方正仿宋简体" w:eastAsia="方正仿宋简体" w:cs="方正仿宋简体"/>
          <w:sz w:val="32"/>
          <w:szCs w:val="32"/>
          <w:lang w:eastAsia="zh-CN"/>
        </w:rPr>
        <w:t>深化建立</w:t>
      </w:r>
      <w:r>
        <w:rPr>
          <w:rFonts w:hint="eastAsia" w:ascii="方正仿宋简体" w:eastAsia="方正仿宋简体"/>
          <w:sz w:val="32"/>
          <w:szCs w:val="32"/>
        </w:rPr>
        <w:t>“政府主导、财政牵头、部门主责、多方参与”的责任落实机制，工作推进覆盖</w:t>
      </w:r>
      <w:r>
        <w:rPr>
          <w:rFonts w:hint="eastAsia" w:ascii="Times New Roman" w:hAnsi="Times New Roman" w:eastAsia="方正仿宋简体"/>
          <w:sz w:val="32"/>
          <w:szCs w:val="32"/>
        </w:rPr>
        <w:t>127</w:t>
      </w:r>
      <w:r>
        <w:rPr>
          <w:rFonts w:hint="eastAsia" w:ascii="方正仿宋简体" w:eastAsia="方正仿宋简体"/>
          <w:sz w:val="32"/>
          <w:szCs w:val="32"/>
        </w:rPr>
        <w:t>家市本级预算单位和</w:t>
      </w:r>
      <w:r>
        <w:rPr>
          <w:rFonts w:hint="eastAsia" w:ascii="Times New Roman" w:hAnsi="Times New Roman" w:eastAsia="方正仿宋简体"/>
          <w:sz w:val="32"/>
          <w:szCs w:val="32"/>
        </w:rPr>
        <w:t>11</w:t>
      </w:r>
      <w:r>
        <w:rPr>
          <w:rFonts w:hint="eastAsia" w:ascii="方正仿宋简体" w:eastAsia="方正仿宋简体"/>
          <w:sz w:val="32"/>
          <w:szCs w:val="32"/>
        </w:rPr>
        <w:t>县（区），“四本预算”绩效管理一体化</w:t>
      </w:r>
      <w:r>
        <w:rPr>
          <w:rFonts w:hint="eastAsia" w:ascii="方正仿宋简体" w:eastAsia="方正仿宋简体"/>
          <w:sz w:val="32"/>
          <w:szCs w:val="32"/>
          <w:lang w:eastAsia="zh-CN"/>
        </w:rPr>
        <w:t>格局基本建立，</w:t>
      </w:r>
      <w:r>
        <w:rPr>
          <w:rFonts w:hint="eastAsia" w:ascii="方正仿宋简体" w:eastAsia="方正仿宋简体"/>
          <w:sz w:val="32"/>
          <w:szCs w:val="32"/>
        </w:rPr>
        <w:t>绩效优先导向在</w:t>
      </w:r>
      <w:r>
        <w:rPr>
          <w:rFonts w:hint="eastAsia" w:ascii="方正仿宋简体" w:eastAsia="方正仿宋简体"/>
          <w:sz w:val="32"/>
          <w:szCs w:val="32"/>
          <w:lang w:eastAsia="zh-CN"/>
        </w:rPr>
        <w:t>全市范围内牢固</w:t>
      </w:r>
      <w:r>
        <w:rPr>
          <w:rFonts w:hint="eastAsia" w:ascii="方正仿宋简体" w:eastAsia="方正仿宋简体"/>
          <w:sz w:val="32"/>
          <w:szCs w:val="32"/>
        </w:rPr>
        <w:t>树立</w:t>
      </w:r>
      <w:r>
        <w:rPr>
          <w:rFonts w:hint="eastAsia" w:ascii="方正仿宋简体" w:eastAsia="方正仿宋简体"/>
          <w:sz w:val="32"/>
          <w:szCs w:val="32"/>
          <w:lang w:eastAsia="zh-CN"/>
        </w:rPr>
        <w:t>，</w:t>
      </w:r>
      <w:r>
        <w:rPr>
          <w:rFonts w:hint="eastAsia" w:ascii="方正仿宋简体" w:eastAsia="方正仿宋简体"/>
          <w:sz w:val="32"/>
          <w:szCs w:val="32"/>
        </w:rPr>
        <w:t>财政资源配置效率和资金使用效益明显改善。</w:t>
      </w:r>
    </w:p>
    <w:p>
      <w:pPr>
        <w:spacing w:line="592"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二、</w:t>
      </w:r>
      <w:r>
        <w:rPr>
          <w:rFonts w:hint="eastAsia" w:ascii="黑体" w:hAnsi="黑体" w:eastAsia="黑体" w:cs="黑体"/>
          <w:sz w:val="32"/>
          <w:szCs w:val="32"/>
          <w:lang w:eastAsia="zh-CN"/>
        </w:rPr>
        <w:t>加强闭环管理，健全制度机制，绩效管理体系持续完善</w:t>
      </w:r>
    </w:p>
    <w:p>
      <w:pPr>
        <w:spacing w:line="592" w:lineRule="exact"/>
        <w:ind w:firstLine="640" w:firstLineChars="200"/>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我市着力在“全过程”管理链条上夯基础、建机制、求实效，推动绩效管理深度融入预算编制、执行、监督各环节。</w:t>
      </w:r>
    </w:p>
    <w:p>
      <w:pPr>
        <w:spacing w:line="592" w:lineRule="exact"/>
        <w:ind w:firstLine="480" w:firstLineChars="150"/>
        <w:rPr>
          <w:rFonts w:ascii="方正仿宋简体" w:eastAsia="方正仿宋简体"/>
          <w:sz w:val="32"/>
          <w:szCs w:val="32"/>
        </w:rPr>
      </w:pPr>
      <w:r>
        <w:rPr>
          <w:rFonts w:hint="eastAsia" w:ascii="楷体" w:hAnsi="楷体" w:eastAsia="楷体" w:cs="楷体"/>
          <w:sz w:val="32"/>
          <w:szCs w:val="32"/>
        </w:rPr>
        <w:t>（一）制度体系</w:t>
      </w:r>
      <w:r>
        <w:rPr>
          <w:rFonts w:hint="eastAsia" w:ascii="楷体" w:hAnsi="楷体" w:eastAsia="楷体" w:cs="楷体"/>
          <w:sz w:val="32"/>
          <w:szCs w:val="32"/>
          <w:lang w:eastAsia="zh-CN"/>
        </w:rPr>
        <w:t>更加健全</w:t>
      </w:r>
      <w:r>
        <w:rPr>
          <w:rFonts w:hint="eastAsia" w:ascii="楷体" w:hAnsi="楷体" w:eastAsia="楷体" w:cs="楷体"/>
          <w:sz w:val="32"/>
          <w:szCs w:val="32"/>
        </w:rPr>
        <w:t>。</w:t>
      </w:r>
      <w:r>
        <w:rPr>
          <w:rFonts w:hint="eastAsia" w:ascii="方正仿宋简体" w:hAnsi="方正仿宋简体" w:eastAsia="方正仿宋简体" w:cs="方正仿宋简体"/>
          <w:sz w:val="32"/>
          <w:szCs w:val="32"/>
        </w:rPr>
        <w:t>制定出台以</w:t>
      </w:r>
      <w:r>
        <w:rPr>
          <w:rFonts w:hint="eastAsia" w:ascii="方正仿宋简体" w:eastAsia="方正仿宋简体"/>
          <w:sz w:val="32"/>
          <w:szCs w:val="32"/>
        </w:rPr>
        <w:t>《那曲市</w:t>
      </w:r>
      <w:r>
        <w:rPr>
          <w:rFonts w:ascii="方正仿宋简体" w:eastAsia="方正仿宋简体"/>
          <w:sz w:val="32"/>
          <w:szCs w:val="32"/>
        </w:rPr>
        <w:t>关于深入贯彻落实全面实施预算绩效管理的实施方案</w:t>
      </w:r>
      <w:r>
        <w:rPr>
          <w:rFonts w:hint="eastAsia" w:ascii="方正仿宋简体" w:eastAsia="方正仿宋简体"/>
          <w:sz w:val="32"/>
          <w:szCs w:val="32"/>
        </w:rPr>
        <w:t>》为核心的“</w:t>
      </w:r>
      <w:r>
        <w:rPr>
          <w:rFonts w:hint="eastAsia" w:ascii="Times New Roman" w:hAnsi="Times New Roman" w:eastAsia="方正仿宋简体"/>
          <w:sz w:val="32"/>
          <w:szCs w:val="32"/>
        </w:rPr>
        <w:t>1</w:t>
      </w:r>
      <w:r>
        <w:rPr>
          <w:rFonts w:hint="eastAsia" w:ascii="方正仿宋简体" w:eastAsia="方正仿宋简体"/>
          <w:sz w:val="32"/>
          <w:szCs w:val="32"/>
        </w:rPr>
        <w:t>+</w:t>
      </w:r>
      <w:r>
        <w:rPr>
          <w:rFonts w:ascii="Times New Roman" w:hAnsi="Times New Roman" w:eastAsia="方正仿宋简体" w:cs="Times New Roman"/>
          <w:sz w:val="32"/>
          <w:szCs w:val="32"/>
        </w:rPr>
        <w:t>N</w:t>
      </w:r>
      <w:r>
        <w:rPr>
          <w:rFonts w:hint="eastAsia" w:ascii="方正仿宋简体" w:eastAsia="方正仿宋简体"/>
          <w:sz w:val="32"/>
          <w:szCs w:val="32"/>
        </w:rPr>
        <w:t>”制度体系</w:t>
      </w:r>
      <w:r>
        <w:rPr>
          <w:rFonts w:ascii="方正仿宋简体" w:eastAsia="方正仿宋简体"/>
          <w:sz w:val="32"/>
          <w:szCs w:val="32"/>
        </w:rPr>
        <w:t>，配套</w:t>
      </w:r>
      <w:r>
        <w:rPr>
          <w:rFonts w:hint="eastAsia" w:ascii="方正仿宋简体" w:eastAsia="方正仿宋简体"/>
          <w:sz w:val="32"/>
          <w:szCs w:val="32"/>
        </w:rPr>
        <w:t>印发事前绩效</w:t>
      </w:r>
      <w:r>
        <w:rPr>
          <w:rFonts w:ascii="方正仿宋简体" w:eastAsia="方正仿宋简体"/>
          <w:sz w:val="32"/>
          <w:szCs w:val="32"/>
        </w:rPr>
        <w:t>评估、</w:t>
      </w:r>
      <w:r>
        <w:rPr>
          <w:rFonts w:hint="eastAsia" w:ascii="方正仿宋简体" w:eastAsia="方正仿宋简体"/>
          <w:sz w:val="32"/>
          <w:szCs w:val="32"/>
        </w:rPr>
        <w:t>绩效目标</w:t>
      </w:r>
      <w:r>
        <w:rPr>
          <w:rFonts w:ascii="方正仿宋简体" w:eastAsia="方正仿宋简体"/>
          <w:sz w:val="32"/>
          <w:szCs w:val="32"/>
        </w:rPr>
        <w:t>管理、</w:t>
      </w:r>
      <w:r>
        <w:rPr>
          <w:rFonts w:hint="eastAsia" w:ascii="方正仿宋简体" w:eastAsia="方正仿宋简体"/>
          <w:sz w:val="32"/>
          <w:szCs w:val="32"/>
        </w:rPr>
        <w:t>绩效跟踪监控</w:t>
      </w:r>
      <w:r>
        <w:rPr>
          <w:rFonts w:ascii="方正仿宋简体" w:eastAsia="方正仿宋简体"/>
          <w:sz w:val="32"/>
          <w:szCs w:val="32"/>
        </w:rPr>
        <w:t>、绩效结果应用</w:t>
      </w:r>
      <w:r>
        <w:rPr>
          <w:rFonts w:hint="eastAsia" w:ascii="方正仿宋简体" w:eastAsia="方正仿宋简体"/>
          <w:sz w:val="32"/>
          <w:szCs w:val="32"/>
        </w:rPr>
        <w:t>等一系列具体管理办法与流程，完善共性项目重点绩效指标框架</w:t>
      </w:r>
      <w:r>
        <w:rPr>
          <w:rFonts w:hint="eastAsia" w:ascii="Times New Roman" w:hAnsi="Times New Roman" w:eastAsia="方正仿宋简体"/>
          <w:sz w:val="32"/>
          <w:szCs w:val="32"/>
        </w:rPr>
        <w:t>10</w:t>
      </w:r>
      <w:r>
        <w:rPr>
          <w:rFonts w:hint="eastAsia" w:ascii="方正仿宋简体" w:eastAsia="方正仿宋简体"/>
          <w:sz w:val="32"/>
          <w:szCs w:val="32"/>
        </w:rPr>
        <w:t>类，分</w:t>
      </w:r>
      <w:r>
        <w:rPr>
          <w:rFonts w:hint="eastAsia" w:ascii="Times New Roman" w:hAnsi="Times New Roman" w:eastAsia="方正仿宋简体"/>
          <w:sz w:val="32"/>
          <w:szCs w:val="32"/>
        </w:rPr>
        <w:t>60</w:t>
      </w:r>
      <w:r>
        <w:rPr>
          <w:rFonts w:hint="eastAsia" w:ascii="方正仿宋简体" w:eastAsia="方正仿宋简体"/>
          <w:sz w:val="32"/>
          <w:szCs w:val="32"/>
        </w:rPr>
        <w:t>家行业部门设置绩效指标框架</w:t>
      </w:r>
      <w:r>
        <w:rPr>
          <w:rFonts w:hint="eastAsia" w:ascii="Times New Roman" w:hAnsi="Times New Roman" w:eastAsia="方正仿宋简体"/>
          <w:sz w:val="32"/>
          <w:szCs w:val="32"/>
        </w:rPr>
        <w:t>248</w:t>
      </w:r>
      <w:r>
        <w:rPr>
          <w:rFonts w:hint="eastAsia" w:ascii="方正仿宋简体" w:eastAsia="方正仿宋简体"/>
          <w:sz w:val="32"/>
          <w:szCs w:val="32"/>
        </w:rPr>
        <w:t>类，为全过程预算绩效管理提供了坚实的制度保障与操作依据</w:t>
      </w:r>
      <w:r>
        <w:rPr>
          <w:rFonts w:ascii="方正仿宋简体" w:eastAsia="方正仿宋简体"/>
          <w:sz w:val="32"/>
          <w:szCs w:val="32"/>
        </w:rPr>
        <w:t>。</w:t>
      </w:r>
    </w:p>
    <w:p>
      <w:pPr>
        <w:spacing w:line="592" w:lineRule="exact"/>
        <w:ind w:firstLine="480" w:firstLineChars="150"/>
        <w:rPr>
          <w:rFonts w:ascii="方正仿宋简体" w:eastAsia="方正仿宋简体"/>
          <w:sz w:val="32"/>
          <w:szCs w:val="32"/>
        </w:rPr>
      </w:pPr>
      <w:r>
        <w:rPr>
          <w:rFonts w:hint="eastAsia" w:ascii="楷体" w:hAnsi="楷体" w:eastAsia="楷体" w:cs="楷体"/>
          <w:sz w:val="32"/>
          <w:szCs w:val="32"/>
        </w:rPr>
        <w:t>（二）</w:t>
      </w:r>
      <w:r>
        <w:rPr>
          <w:rFonts w:hint="eastAsia" w:ascii="楷体" w:hAnsi="楷体" w:eastAsia="楷体" w:cs="楷体"/>
          <w:sz w:val="32"/>
          <w:szCs w:val="32"/>
          <w:lang w:eastAsia="zh-CN"/>
        </w:rPr>
        <w:t>事前评估关口作用凸显</w:t>
      </w:r>
      <w:r>
        <w:rPr>
          <w:rFonts w:hint="eastAsia" w:ascii="楷体" w:hAnsi="楷体" w:eastAsia="楷体" w:cs="楷体"/>
          <w:sz w:val="32"/>
          <w:szCs w:val="32"/>
        </w:rPr>
        <w:t>。</w:t>
      </w:r>
      <w:r>
        <w:rPr>
          <w:rFonts w:hint="eastAsia" w:ascii="方正仿宋简体" w:hAnsi="方正仿宋简体" w:eastAsia="方正仿宋简体" w:cs="方正仿宋简体"/>
          <w:sz w:val="32"/>
          <w:szCs w:val="32"/>
        </w:rPr>
        <w:t>聚焦项目立项必要性、投入经济性、绩效目标合理性、实施方案可行性等核心要素，严格实行新增重大政策和项目“先评估、后入库”刚性机制，将评估结论作为项目入库和预算安排的直接依据。</w:t>
      </w:r>
      <w:r>
        <w:rPr>
          <w:rFonts w:hint="eastAsia" w:ascii="Times New Roman" w:hAnsi="Times New Roman" w:eastAsia="方正仿宋简体"/>
          <w:sz w:val="32"/>
          <w:szCs w:val="32"/>
        </w:rPr>
        <w:t>2025</w:t>
      </w:r>
      <w:r>
        <w:rPr>
          <w:rFonts w:hint="eastAsia" w:ascii="方正仿宋简体" w:eastAsia="方正仿宋简体"/>
          <w:sz w:val="32"/>
          <w:szCs w:val="32"/>
        </w:rPr>
        <w:t>年度，</w:t>
      </w:r>
      <w:r>
        <w:rPr>
          <w:rFonts w:hint="eastAsia" w:ascii="方正仿宋简体" w:eastAsia="方正仿宋简体"/>
          <w:sz w:val="32"/>
          <w:szCs w:val="32"/>
          <w:lang w:eastAsia="zh-CN"/>
        </w:rPr>
        <w:t>组织</w:t>
      </w:r>
      <w:r>
        <w:rPr>
          <w:rFonts w:hint="eastAsia" w:ascii="方正仿宋简体" w:eastAsia="方正仿宋简体"/>
          <w:sz w:val="32"/>
          <w:szCs w:val="32"/>
        </w:rPr>
        <w:t>对</w:t>
      </w:r>
      <w:r>
        <w:rPr>
          <w:rFonts w:hint="eastAsia" w:ascii="Times New Roman" w:hAnsi="Times New Roman" w:eastAsia="方正仿宋简体"/>
          <w:sz w:val="32"/>
          <w:szCs w:val="32"/>
        </w:rPr>
        <w:t>41</w:t>
      </w:r>
      <w:r>
        <w:rPr>
          <w:rFonts w:hint="eastAsia" w:ascii="方正仿宋简体" w:eastAsia="方正仿宋简体"/>
          <w:sz w:val="32"/>
          <w:szCs w:val="32"/>
        </w:rPr>
        <w:t>家单位的</w:t>
      </w:r>
      <w:r>
        <w:rPr>
          <w:rFonts w:hint="eastAsia" w:ascii="Times New Roman" w:hAnsi="Times New Roman" w:eastAsia="方正仿宋简体"/>
          <w:sz w:val="32"/>
          <w:szCs w:val="32"/>
        </w:rPr>
        <w:t>99</w:t>
      </w:r>
      <w:r>
        <w:rPr>
          <w:rFonts w:hint="eastAsia" w:ascii="方正仿宋简体" w:eastAsia="方正仿宋简体"/>
          <w:sz w:val="32"/>
          <w:szCs w:val="32"/>
        </w:rPr>
        <w:t>个新增项目开展事前绩效评估，涉及申报资金</w:t>
      </w:r>
      <w:r>
        <w:rPr>
          <w:rFonts w:hint="eastAsia" w:ascii="Times New Roman" w:hAnsi="Times New Roman" w:eastAsia="方正仿宋简体"/>
          <w:sz w:val="32"/>
          <w:szCs w:val="32"/>
        </w:rPr>
        <w:t>4.19亿</w:t>
      </w:r>
      <w:r>
        <w:rPr>
          <w:rFonts w:hint="eastAsia" w:ascii="方正仿宋简体" w:eastAsia="方正仿宋简体"/>
          <w:sz w:val="32"/>
          <w:szCs w:val="32"/>
        </w:rPr>
        <w:t>元</w:t>
      </w:r>
      <w:r>
        <w:rPr>
          <w:rFonts w:hint="eastAsia" w:ascii="方正仿宋简体" w:eastAsia="方正仿宋简体"/>
          <w:sz w:val="32"/>
          <w:szCs w:val="32"/>
          <w:lang w:eastAsia="zh-CN"/>
        </w:rPr>
        <w:t>，核减不合理申报资金，从源头上防止了低效无效投入</w:t>
      </w:r>
      <w:r>
        <w:rPr>
          <w:rFonts w:hint="eastAsia" w:ascii="方正仿宋简体" w:eastAsia="方正仿宋简体"/>
          <w:sz w:val="32"/>
          <w:szCs w:val="32"/>
        </w:rPr>
        <w:t>。</w:t>
      </w:r>
    </w:p>
    <w:p>
      <w:pPr>
        <w:spacing w:line="592" w:lineRule="exact"/>
        <w:ind w:firstLine="640" w:firstLineChars="200"/>
        <w:rPr>
          <w:rFonts w:ascii="方正仿宋简体" w:eastAsia="方正仿宋简体"/>
          <w:sz w:val="32"/>
          <w:szCs w:val="32"/>
        </w:rPr>
      </w:pPr>
      <w:r>
        <w:rPr>
          <w:rFonts w:hint="eastAsia" w:ascii="楷体" w:hAnsi="楷体" w:eastAsia="楷体" w:cs="楷体"/>
          <w:sz w:val="32"/>
          <w:szCs w:val="32"/>
          <w:lang w:eastAsia="zh-CN"/>
        </w:rPr>
        <w:t>（三）</w:t>
      </w:r>
      <w:r>
        <w:rPr>
          <w:rFonts w:hint="eastAsia" w:ascii="楷体" w:hAnsi="楷体" w:eastAsia="楷体" w:cs="楷体"/>
          <w:sz w:val="32"/>
          <w:szCs w:val="32"/>
        </w:rPr>
        <w:t>绩效目标管理</w:t>
      </w:r>
      <w:r>
        <w:rPr>
          <w:rFonts w:hint="eastAsia" w:ascii="楷体" w:hAnsi="楷体" w:eastAsia="楷体" w:cs="楷体"/>
          <w:sz w:val="32"/>
          <w:szCs w:val="32"/>
          <w:lang w:eastAsia="zh-CN"/>
        </w:rPr>
        <w:t>全面规范</w:t>
      </w:r>
      <w:r>
        <w:rPr>
          <w:rFonts w:hint="eastAsia" w:ascii="楷体" w:hAnsi="楷体" w:eastAsia="楷体" w:cs="楷体"/>
          <w:sz w:val="32"/>
          <w:szCs w:val="32"/>
        </w:rPr>
        <w:t>。</w:t>
      </w:r>
      <w:r>
        <w:rPr>
          <w:rFonts w:hint="eastAsia" w:ascii="方正仿宋简体" w:hAnsi="方正仿宋简体" w:eastAsia="方正仿宋简体" w:cs="方正仿宋简体"/>
          <w:sz w:val="32"/>
          <w:szCs w:val="32"/>
        </w:rPr>
        <w:t>全面实施绩效目标与预算“同步编制、同步审核、同步批复、同步公开”，通过规范填报模版、加强审核培训，</w:t>
      </w:r>
      <w:r>
        <w:rPr>
          <w:rFonts w:hint="eastAsia" w:ascii="方正仿宋简体" w:hAnsi="方正仿宋简体" w:eastAsia="方正仿宋简体" w:cs="方正仿宋简体"/>
          <w:sz w:val="32"/>
          <w:szCs w:val="32"/>
          <w:lang w:eastAsia="zh-CN"/>
        </w:rPr>
        <w:t>推动</w:t>
      </w:r>
      <w:r>
        <w:rPr>
          <w:rFonts w:hint="eastAsia" w:ascii="方正仿宋简体" w:hAnsi="方正仿宋简体" w:eastAsia="方正仿宋简体" w:cs="方正仿宋简体"/>
          <w:sz w:val="32"/>
          <w:szCs w:val="32"/>
        </w:rPr>
        <w:t>实现市级项目支出绩效目标管理全覆盖，预算绩效目标的科学性、规范性、细化量化程度显著提升</w:t>
      </w:r>
      <w:r>
        <w:rPr>
          <w:rFonts w:hint="eastAsia" w:ascii="方正仿宋简体" w:hAnsi="方正仿宋简体" w:eastAsia="方正仿宋简体" w:cs="方正仿宋简体"/>
          <w:sz w:val="32"/>
          <w:szCs w:val="32"/>
          <w:lang w:eastAsia="zh-CN"/>
        </w:rPr>
        <w:t>，为全过程绩效管理奠定了坚实基础</w:t>
      </w:r>
      <w:r>
        <w:rPr>
          <w:rFonts w:hint="eastAsia" w:ascii="方正仿宋简体" w:hAnsi="方正仿宋简体" w:eastAsia="方正仿宋简体" w:cs="方正仿宋简体"/>
          <w:sz w:val="32"/>
          <w:szCs w:val="32"/>
        </w:rPr>
        <w:t>。</w:t>
      </w:r>
    </w:p>
    <w:p>
      <w:pPr>
        <w:spacing w:line="592" w:lineRule="exact"/>
        <w:ind w:firstLine="640" w:firstLineChars="200"/>
        <w:rPr>
          <w:rFonts w:hint="eastAsia" w:ascii="方正仿宋简体" w:eastAsia="方正仿宋简体"/>
          <w:sz w:val="32"/>
          <w:szCs w:val="32"/>
        </w:rPr>
      </w:pPr>
      <w:r>
        <w:rPr>
          <w:rFonts w:hint="eastAsia" w:ascii="楷体" w:hAnsi="楷体" w:eastAsia="楷体" w:cs="楷体"/>
          <w:sz w:val="32"/>
          <w:szCs w:val="32"/>
          <w:lang w:eastAsia="zh-CN"/>
        </w:rPr>
        <w:t>（四）</w:t>
      </w:r>
      <w:r>
        <w:rPr>
          <w:rFonts w:hint="eastAsia" w:ascii="楷体" w:hAnsi="楷体" w:eastAsia="楷体" w:cs="楷体"/>
          <w:sz w:val="32"/>
          <w:szCs w:val="32"/>
        </w:rPr>
        <w:t>绩效运行监控</w:t>
      </w:r>
      <w:r>
        <w:rPr>
          <w:rFonts w:hint="eastAsia" w:ascii="楷体" w:hAnsi="楷体" w:eastAsia="楷体" w:cs="楷体"/>
          <w:sz w:val="32"/>
          <w:szCs w:val="32"/>
          <w:lang w:eastAsia="zh-CN"/>
        </w:rPr>
        <w:t>动态精准</w:t>
      </w:r>
      <w:r>
        <w:rPr>
          <w:rFonts w:hint="eastAsia" w:ascii="楷体" w:hAnsi="楷体" w:eastAsia="楷体" w:cs="楷体"/>
          <w:sz w:val="32"/>
          <w:szCs w:val="32"/>
        </w:rPr>
        <w:t>。</w:t>
      </w:r>
      <w:r>
        <w:rPr>
          <w:rFonts w:hint="eastAsia" w:ascii="方正仿宋简体" w:eastAsia="方正仿宋简体"/>
          <w:sz w:val="32"/>
          <w:szCs w:val="32"/>
          <w:lang w:eastAsia="zh-CN"/>
        </w:rPr>
        <w:t>构建</w:t>
      </w:r>
      <w:r>
        <w:rPr>
          <w:rFonts w:hint="eastAsia" w:ascii="方正仿宋简体" w:eastAsia="方正仿宋简体"/>
          <w:sz w:val="32"/>
          <w:szCs w:val="32"/>
        </w:rPr>
        <w:t>“部门日常监控+财政重点监控”相结合的绩效运行监控机制，</w:t>
      </w:r>
      <w:r>
        <w:rPr>
          <w:rFonts w:hint="eastAsia" w:ascii="方正仿宋简体" w:eastAsia="方正仿宋简体"/>
          <w:sz w:val="32"/>
          <w:szCs w:val="32"/>
          <w:lang w:eastAsia="zh-CN"/>
        </w:rPr>
        <w:t>对项目进度、资金使用、效益实现进行常态化跟踪</w:t>
      </w:r>
      <w:r>
        <w:rPr>
          <w:rFonts w:hint="eastAsia" w:ascii="方正仿宋简体" w:eastAsia="方正仿宋简体"/>
          <w:sz w:val="32"/>
          <w:szCs w:val="32"/>
        </w:rPr>
        <w:t>。</w:t>
      </w:r>
      <w:r>
        <w:rPr>
          <w:rFonts w:hint="eastAsia" w:ascii="Times New Roman" w:hAnsi="Times New Roman" w:eastAsia="方正仿宋简体"/>
          <w:sz w:val="32"/>
          <w:szCs w:val="32"/>
          <w:lang w:eastAsia="zh-CN"/>
        </w:rPr>
        <w:t>全年</w:t>
      </w:r>
      <w:r>
        <w:rPr>
          <w:rFonts w:hint="eastAsia" w:ascii="方正仿宋简体" w:eastAsia="方正仿宋简体"/>
          <w:sz w:val="32"/>
          <w:szCs w:val="32"/>
        </w:rPr>
        <w:t>累计对</w:t>
      </w:r>
      <w:r>
        <w:rPr>
          <w:rFonts w:ascii="Times New Roman" w:hAnsi="Times New Roman" w:eastAsia="方正仿宋简体"/>
          <w:sz w:val="32"/>
          <w:szCs w:val="32"/>
        </w:rPr>
        <w:t>1315</w:t>
      </w:r>
      <w:r>
        <w:rPr>
          <w:rFonts w:hint="eastAsia" w:ascii="方正仿宋简体" w:eastAsia="方正仿宋简体"/>
          <w:sz w:val="32"/>
          <w:szCs w:val="32"/>
        </w:rPr>
        <w:t>个项目实施动态监控，涉及资金总规模</w:t>
      </w:r>
      <w:r>
        <w:rPr>
          <w:rFonts w:ascii="Times New Roman" w:hAnsi="Times New Roman" w:eastAsia="方正仿宋简体"/>
          <w:sz w:val="32"/>
          <w:szCs w:val="32"/>
        </w:rPr>
        <w:t>39</w:t>
      </w:r>
      <w:r>
        <w:rPr>
          <w:rFonts w:ascii="方正仿宋简体" w:eastAsia="方正仿宋简体"/>
          <w:sz w:val="32"/>
          <w:szCs w:val="32"/>
        </w:rPr>
        <w:t>.</w:t>
      </w:r>
      <w:r>
        <w:rPr>
          <w:rFonts w:ascii="Times New Roman" w:hAnsi="Times New Roman" w:eastAsia="方正仿宋简体"/>
          <w:sz w:val="32"/>
          <w:szCs w:val="32"/>
        </w:rPr>
        <w:t>17</w:t>
      </w:r>
      <w:r>
        <w:rPr>
          <w:rFonts w:hint="eastAsia" w:ascii="方正仿宋简体" w:eastAsia="方正仿宋简体"/>
          <w:sz w:val="32"/>
          <w:szCs w:val="32"/>
        </w:rPr>
        <w:t>亿元，共发现执行偏差、支出混乱等问题</w:t>
      </w:r>
      <w:r>
        <w:rPr>
          <w:rFonts w:ascii="Times New Roman" w:hAnsi="Times New Roman" w:eastAsia="方正仿宋简体"/>
          <w:sz w:val="32"/>
          <w:szCs w:val="32"/>
        </w:rPr>
        <w:t>353</w:t>
      </w:r>
      <w:r>
        <w:rPr>
          <w:rFonts w:hint="eastAsia" w:ascii="方正仿宋简体" w:eastAsia="方正仿宋简体"/>
          <w:sz w:val="32"/>
          <w:szCs w:val="32"/>
        </w:rPr>
        <w:t>个，通过书面反馈、工作提醒督促相关预算单位制定整改措施</w:t>
      </w:r>
      <w:r>
        <w:rPr>
          <w:rFonts w:ascii="Times New Roman" w:hAnsi="Times New Roman" w:eastAsia="方正仿宋简体"/>
          <w:sz w:val="32"/>
          <w:szCs w:val="32"/>
        </w:rPr>
        <w:t>96</w:t>
      </w:r>
      <w:r>
        <w:rPr>
          <w:rFonts w:hint="eastAsia" w:ascii="方正仿宋简体" w:eastAsia="方正仿宋简体"/>
          <w:sz w:val="32"/>
          <w:szCs w:val="32"/>
        </w:rPr>
        <w:t>项，确保绩效目标不偏离、管理责任不落空。</w:t>
      </w:r>
    </w:p>
    <w:p>
      <w:pPr>
        <w:spacing w:line="592" w:lineRule="exact"/>
        <w:ind w:firstLine="640" w:firstLineChars="200"/>
        <w:rPr>
          <w:rFonts w:ascii="方正仿宋简体" w:eastAsia="方正仿宋简体"/>
          <w:sz w:val="32"/>
          <w:szCs w:val="32"/>
        </w:rPr>
      </w:pPr>
      <w:r>
        <w:rPr>
          <w:rFonts w:hint="eastAsia" w:ascii="楷体" w:hAnsi="楷体" w:eastAsia="楷体" w:cs="楷体"/>
          <w:sz w:val="32"/>
          <w:szCs w:val="32"/>
          <w:lang w:eastAsia="zh-CN"/>
        </w:rPr>
        <w:t>（五）</w:t>
      </w:r>
      <w:r>
        <w:rPr>
          <w:rFonts w:hint="eastAsia" w:ascii="楷体" w:hAnsi="楷体" w:eastAsia="楷体" w:cs="楷体"/>
          <w:sz w:val="32"/>
          <w:szCs w:val="32"/>
        </w:rPr>
        <w:t>绩效评价</w:t>
      </w:r>
      <w:r>
        <w:rPr>
          <w:rFonts w:hint="eastAsia" w:ascii="楷体" w:hAnsi="楷体" w:eastAsia="楷体" w:cs="楷体"/>
          <w:sz w:val="32"/>
          <w:szCs w:val="32"/>
          <w:lang w:eastAsia="zh-CN"/>
        </w:rPr>
        <w:t>提质扩面</w:t>
      </w:r>
      <w:r>
        <w:rPr>
          <w:rFonts w:hint="eastAsia" w:ascii="楷体" w:hAnsi="楷体" w:eastAsia="楷体" w:cs="楷体"/>
          <w:sz w:val="32"/>
          <w:szCs w:val="32"/>
        </w:rPr>
        <w:t>。</w:t>
      </w:r>
      <w:r>
        <w:rPr>
          <w:rFonts w:hint="eastAsia" w:ascii="方正仿宋简体" w:eastAsia="方正仿宋简体"/>
          <w:sz w:val="32"/>
          <w:szCs w:val="32"/>
        </w:rPr>
        <w:t>组织开展</w:t>
      </w:r>
      <w:r>
        <w:rPr>
          <w:rFonts w:ascii="Times New Roman" w:hAnsi="Times New Roman" w:eastAsia="方正仿宋简体"/>
          <w:sz w:val="32"/>
          <w:szCs w:val="32"/>
        </w:rPr>
        <w:t>2024</w:t>
      </w:r>
      <w:r>
        <w:rPr>
          <w:rFonts w:hint="eastAsia" w:ascii="方正仿宋简体" w:eastAsia="方正仿宋简体"/>
          <w:sz w:val="32"/>
          <w:szCs w:val="32"/>
        </w:rPr>
        <w:t>年度项目支出绩效自评，涉及项目数量</w:t>
      </w:r>
      <w:r>
        <w:rPr>
          <w:rFonts w:ascii="Times New Roman" w:hAnsi="Times New Roman" w:eastAsia="方正仿宋简体"/>
          <w:sz w:val="32"/>
          <w:szCs w:val="32"/>
        </w:rPr>
        <w:t>1301</w:t>
      </w:r>
      <w:r>
        <w:rPr>
          <w:rFonts w:hint="eastAsia" w:ascii="方正仿宋简体" w:eastAsia="方正仿宋简体"/>
          <w:sz w:val="32"/>
          <w:szCs w:val="32"/>
        </w:rPr>
        <w:t>个、资金规模</w:t>
      </w:r>
      <w:r>
        <w:rPr>
          <w:rFonts w:ascii="Times New Roman" w:hAnsi="Times New Roman" w:eastAsia="方正仿宋简体"/>
          <w:sz w:val="32"/>
          <w:szCs w:val="32"/>
        </w:rPr>
        <w:t>49</w:t>
      </w:r>
      <w:r>
        <w:rPr>
          <w:rFonts w:hint="eastAsia" w:ascii="方正仿宋简体" w:eastAsia="方正仿宋简体"/>
          <w:sz w:val="32"/>
          <w:szCs w:val="32"/>
        </w:rPr>
        <w:t>亿元，</w:t>
      </w:r>
      <w:r>
        <w:rPr>
          <w:rFonts w:hint="eastAsia" w:ascii="方正仿宋简体" w:eastAsia="方正仿宋简体"/>
          <w:sz w:val="32"/>
          <w:szCs w:val="32"/>
          <w:lang w:eastAsia="zh-CN"/>
        </w:rPr>
        <w:t>专门</w:t>
      </w:r>
      <w:r>
        <w:rPr>
          <w:rFonts w:hint="eastAsia" w:ascii="方正仿宋简体" w:eastAsia="方正仿宋简体"/>
          <w:sz w:val="32"/>
          <w:szCs w:val="32"/>
        </w:rPr>
        <w:t>选取</w:t>
      </w:r>
      <w:r>
        <w:rPr>
          <w:rFonts w:hint="eastAsia" w:ascii="Times New Roman" w:hAnsi="Times New Roman" w:eastAsia="方正仿宋简体"/>
          <w:sz w:val="32"/>
          <w:szCs w:val="32"/>
        </w:rPr>
        <w:t>15</w:t>
      </w:r>
      <w:r>
        <w:rPr>
          <w:rFonts w:hint="eastAsia" w:ascii="方正仿宋简体" w:eastAsia="方正仿宋简体"/>
          <w:sz w:val="32"/>
          <w:szCs w:val="32"/>
        </w:rPr>
        <w:t>个</w:t>
      </w:r>
      <w:r>
        <w:rPr>
          <w:rFonts w:ascii="方正仿宋简体" w:eastAsia="方正仿宋简体"/>
          <w:sz w:val="32"/>
          <w:szCs w:val="32"/>
        </w:rPr>
        <w:t>项目</w:t>
      </w:r>
      <w:r>
        <w:rPr>
          <w:rFonts w:hint="eastAsia" w:ascii="方正仿宋简体" w:eastAsia="方正仿宋简体"/>
          <w:sz w:val="32"/>
          <w:szCs w:val="32"/>
        </w:rPr>
        <w:t>进行自评抽查复核，进一步督促问题整改落实。选取</w:t>
      </w:r>
      <w:r>
        <w:rPr>
          <w:rFonts w:hint="eastAsia" w:ascii="Times New Roman" w:hAnsi="Times New Roman" w:eastAsia="方正仿宋简体"/>
          <w:sz w:val="32"/>
          <w:szCs w:val="32"/>
        </w:rPr>
        <w:t>2022</w:t>
      </w:r>
      <w:r>
        <w:rPr>
          <w:rFonts w:hint="eastAsia" w:ascii="方正仿宋简体" w:eastAsia="方正仿宋简体"/>
          <w:sz w:val="32"/>
          <w:szCs w:val="32"/>
        </w:rPr>
        <w:t>至</w:t>
      </w:r>
      <w:r>
        <w:rPr>
          <w:rFonts w:hint="eastAsia" w:ascii="Times New Roman" w:hAnsi="Times New Roman" w:eastAsia="方正仿宋简体"/>
          <w:sz w:val="32"/>
          <w:szCs w:val="32"/>
        </w:rPr>
        <w:t>2024</w:t>
      </w:r>
      <w:r>
        <w:rPr>
          <w:rFonts w:hint="eastAsia" w:ascii="方正仿宋简体" w:eastAsia="方正仿宋简体"/>
          <w:sz w:val="32"/>
          <w:szCs w:val="32"/>
        </w:rPr>
        <w:t>年度实施的</w:t>
      </w:r>
      <w:r>
        <w:rPr>
          <w:rFonts w:hint="eastAsia" w:ascii="Times New Roman" w:hAnsi="Times New Roman" w:eastAsia="方正仿宋简体"/>
          <w:sz w:val="32"/>
          <w:szCs w:val="32"/>
        </w:rPr>
        <w:t>21</w:t>
      </w:r>
      <w:r>
        <w:rPr>
          <w:rFonts w:hint="eastAsia" w:ascii="方正仿宋简体" w:eastAsia="方正仿宋简体"/>
          <w:sz w:val="32"/>
          <w:szCs w:val="32"/>
        </w:rPr>
        <w:t>个重点项目，历时</w:t>
      </w:r>
      <w:r>
        <w:rPr>
          <w:rFonts w:hint="eastAsia" w:ascii="Times New Roman" w:hAnsi="Times New Roman" w:eastAsia="方正仿宋简体"/>
          <w:sz w:val="32"/>
          <w:szCs w:val="32"/>
        </w:rPr>
        <w:t>3</w:t>
      </w:r>
      <w:r>
        <w:rPr>
          <w:rFonts w:hint="eastAsia" w:ascii="方正仿宋简体" w:eastAsia="方正仿宋简体"/>
          <w:sz w:val="32"/>
          <w:szCs w:val="32"/>
        </w:rPr>
        <w:t>个月开展重点</w:t>
      </w:r>
      <w:r>
        <w:rPr>
          <w:rFonts w:ascii="方正仿宋简体" w:eastAsia="方正仿宋简体"/>
          <w:sz w:val="32"/>
          <w:szCs w:val="32"/>
        </w:rPr>
        <w:t>绩效评价，评价资金</w:t>
      </w:r>
      <w:r>
        <w:rPr>
          <w:rFonts w:hint="eastAsia" w:ascii="方正仿宋简体" w:eastAsia="方正仿宋简体"/>
          <w:sz w:val="32"/>
          <w:szCs w:val="32"/>
        </w:rPr>
        <w:t>总量</w:t>
      </w:r>
      <w:r>
        <w:rPr>
          <w:rFonts w:ascii="Times New Roman" w:hAnsi="Times New Roman" w:eastAsia="方正仿宋简体"/>
          <w:sz w:val="32"/>
          <w:szCs w:val="32"/>
        </w:rPr>
        <w:t>2</w:t>
      </w:r>
      <w:r>
        <w:rPr>
          <w:rFonts w:ascii="方正仿宋简体" w:eastAsia="方正仿宋简体"/>
          <w:sz w:val="32"/>
          <w:szCs w:val="32"/>
        </w:rPr>
        <w:t>.</w:t>
      </w:r>
      <w:r>
        <w:rPr>
          <w:rFonts w:ascii="Times New Roman" w:hAnsi="Times New Roman" w:eastAsia="方正仿宋简体"/>
          <w:sz w:val="32"/>
          <w:szCs w:val="32"/>
        </w:rPr>
        <w:t>95</w:t>
      </w:r>
      <w:r>
        <w:rPr>
          <w:rFonts w:hint="eastAsia" w:ascii="方正仿宋简体" w:eastAsia="方正仿宋简体"/>
          <w:sz w:val="32"/>
          <w:szCs w:val="32"/>
        </w:rPr>
        <w:t>亿元，整改发现项目管控薄弱、效益发挥不明显等问题</w:t>
      </w:r>
      <w:r>
        <w:rPr>
          <w:rFonts w:hint="eastAsia" w:ascii="Times New Roman" w:hAnsi="Times New Roman" w:eastAsia="方正仿宋简体"/>
          <w:sz w:val="32"/>
          <w:szCs w:val="32"/>
        </w:rPr>
        <w:t>7</w:t>
      </w:r>
      <w:r>
        <w:rPr>
          <w:rFonts w:hint="eastAsia" w:ascii="方正仿宋简体" w:eastAsia="方正仿宋简体"/>
          <w:sz w:val="32"/>
          <w:szCs w:val="32"/>
        </w:rPr>
        <w:t>项</w:t>
      </w:r>
      <w:r>
        <w:rPr>
          <w:rFonts w:hint="eastAsia" w:ascii="方正仿宋简体" w:eastAsia="方正仿宋简体"/>
          <w:sz w:val="32"/>
          <w:szCs w:val="32"/>
          <w:lang w:eastAsia="zh-CN"/>
        </w:rPr>
        <w:t>。</w:t>
      </w:r>
      <w:r>
        <w:rPr>
          <w:rFonts w:hint="eastAsia" w:ascii="方正仿宋简体" w:eastAsia="方正仿宋简体"/>
          <w:sz w:val="32"/>
          <w:szCs w:val="32"/>
        </w:rPr>
        <w:t>市委、市政府主要领导对评价中揭示的项目管理不规范、预算执行缓慢等三类问题</w:t>
      </w:r>
      <w:r>
        <w:rPr>
          <w:rFonts w:hint="eastAsia" w:ascii="方正仿宋简体" w:eastAsia="方正仿宋简体"/>
          <w:sz w:val="32"/>
          <w:szCs w:val="32"/>
          <w:lang w:eastAsia="zh-CN"/>
        </w:rPr>
        <w:t>明确</w:t>
      </w:r>
      <w:r>
        <w:rPr>
          <w:rFonts w:hint="eastAsia" w:ascii="方正仿宋简体" w:eastAsia="方正仿宋简体"/>
          <w:sz w:val="32"/>
          <w:szCs w:val="32"/>
        </w:rPr>
        <w:t>作出整改指示，并要求强化结果运用，严肃问责问效。</w:t>
      </w:r>
    </w:p>
    <w:p>
      <w:pPr>
        <w:spacing w:line="592" w:lineRule="exact"/>
        <w:ind w:firstLine="640" w:firstLineChars="200"/>
        <w:textAlignment w:val="center"/>
        <w:rPr>
          <w:rFonts w:ascii="方正仿宋简体" w:hAnsi="方正仿宋简体" w:eastAsia="方正仿宋简体" w:cs="方正仿宋简体"/>
          <w:sz w:val="32"/>
          <w:szCs w:val="32"/>
        </w:rPr>
      </w:pPr>
      <w:r>
        <w:rPr>
          <w:rFonts w:hint="eastAsia" w:ascii="楷体" w:hAnsi="楷体" w:eastAsia="楷体" w:cs="楷体"/>
          <w:sz w:val="32"/>
          <w:szCs w:val="32"/>
          <w:lang w:eastAsia="zh-CN"/>
        </w:rPr>
        <w:t>（六）结果应用刚性约束增强</w:t>
      </w:r>
      <w:r>
        <w:rPr>
          <w:rFonts w:hint="eastAsia" w:ascii="楷体" w:hAnsi="楷体" w:eastAsia="楷体" w:cs="楷体"/>
          <w:sz w:val="32"/>
          <w:szCs w:val="32"/>
        </w:rPr>
        <w:t>。</w:t>
      </w:r>
      <w:r>
        <w:rPr>
          <w:rFonts w:hint="eastAsia" w:ascii="方正仿宋简体" w:hAnsi="方正仿宋简体" w:eastAsia="方正仿宋简体" w:cs="方正仿宋简体"/>
          <w:sz w:val="32"/>
          <w:szCs w:val="32"/>
        </w:rPr>
        <w:t>建立健全绩效评价结果与预算安排、政策调整挂钩机制，将绩效监控和评价结果作为年度预算调整、跨年度预算平衡以及政策延续或退出的重要依据。</w:t>
      </w:r>
      <w:r>
        <w:rPr>
          <w:rFonts w:hint="eastAsia" w:ascii="方正仿宋简体" w:hAnsi="方正仿宋简体" w:eastAsia="方正仿宋简体" w:cs="方正仿宋简体"/>
          <w:sz w:val="32"/>
          <w:szCs w:val="32"/>
          <w:lang w:eastAsia="zh-CN"/>
        </w:rPr>
        <w:t>根据</w:t>
      </w:r>
      <w:r>
        <w:rPr>
          <w:rFonts w:hint="eastAsia" w:ascii="Times New Roman" w:hAnsi="Times New Roman" w:eastAsia="方正仿宋简体" w:cs="方正仿宋简体"/>
          <w:sz w:val="32"/>
          <w:szCs w:val="32"/>
          <w:lang w:val="en-US" w:eastAsia="zh-CN"/>
        </w:rPr>
        <w:t>2022</w:t>
      </w:r>
      <w:r>
        <w:rPr>
          <w:rFonts w:hint="eastAsia" w:ascii="方正仿宋简体" w:hAnsi="方正仿宋简体" w:eastAsia="方正仿宋简体" w:cs="方正仿宋简体"/>
          <w:sz w:val="32"/>
          <w:szCs w:val="32"/>
          <w:lang w:val="en-US" w:eastAsia="zh-CN"/>
        </w:rPr>
        <w:t>-</w:t>
      </w:r>
      <w:r>
        <w:rPr>
          <w:rFonts w:hint="eastAsia" w:ascii="Times New Roman" w:hAnsi="Times New Roman" w:eastAsia="方正仿宋简体" w:cs="方正仿宋简体"/>
          <w:sz w:val="32"/>
          <w:szCs w:val="32"/>
          <w:lang w:val="en-US" w:eastAsia="zh-CN"/>
        </w:rPr>
        <w:t>2024</w:t>
      </w:r>
      <w:r>
        <w:rPr>
          <w:rFonts w:hint="eastAsia" w:ascii="方正仿宋简体" w:hAnsi="方正仿宋简体" w:eastAsia="方正仿宋简体" w:cs="方正仿宋简体"/>
          <w:sz w:val="32"/>
          <w:szCs w:val="32"/>
          <w:lang w:val="en-US" w:eastAsia="zh-CN"/>
        </w:rPr>
        <w:t>年度</w:t>
      </w:r>
      <w:r>
        <w:rPr>
          <w:rFonts w:hint="eastAsia" w:ascii="Times New Roman" w:hAnsi="Times New Roman" w:eastAsia="方正仿宋简体" w:cs="方正仿宋简体"/>
          <w:sz w:val="32"/>
          <w:szCs w:val="32"/>
          <w:lang w:val="en-US" w:eastAsia="zh-CN"/>
        </w:rPr>
        <w:t>21</w:t>
      </w:r>
      <w:r>
        <w:rPr>
          <w:rFonts w:hint="eastAsia" w:ascii="方正仿宋简体" w:hAnsi="方正仿宋简体" w:eastAsia="方正仿宋简体" w:cs="方正仿宋简体"/>
          <w:sz w:val="32"/>
          <w:szCs w:val="32"/>
          <w:lang w:val="en-US" w:eastAsia="zh-CN"/>
        </w:rPr>
        <w:t>个</w:t>
      </w:r>
      <w:r>
        <w:rPr>
          <w:rFonts w:hint="eastAsia" w:ascii="方正仿宋简体" w:hAnsi="方正仿宋简体" w:eastAsia="方正仿宋简体" w:cs="方正仿宋简体"/>
          <w:sz w:val="32"/>
          <w:szCs w:val="32"/>
          <w:lang w:eastAsia="zh-CN"/>
        </w:rPr>
        <w:t>重点项目绩效评价结果，继续</w:t>
      </w:r>
      <w:r>
        <w:rPr>
          <w:rFonts w:hint="eastAsia" w:ascii="方正仿宋简体" w:hAnsi="方正仿宋简体" w:eastAsia="方正仿宋简体" w:cs="方正仿宋简体"/>
          <w:sz w:val="32"/>
          <w:szCs w:val="32"/>
        </w:rPr>
        <w:t>安排项目</w:t>
      </w:r>
      <w:r>
        <w:rPr>
          <w:rFonts w:hint="eastAsia" w:ascii="Times New Roman" w:hAnsi="Times New Roman" w:eastAsia="方正仿宋简体" w:cs="方正仿宋简体"/>
          <w:sz w:val="32"/>
          <w:szCs w:val="32"/>
        </w:rPr>
        <w:t>17</w:t>
      </w:r>
      <w:r>
        <w:rPr>
          <w:rFonts w:hint="eastAsia" w:ascii="方正仿宋简体" w:hAnsi="方正仿宋简体" w:eastAsia="方正仿宋简体" w:cs="方正仿宋简体"/>
          <w:sz w:val="32"/>
          <w:szCs w:val="32"/>
        </w:rPr>
        <w:t>个，取消安排</w:t>
      </w:r>
      <w:r>
        <w:rPr>
          <w:rFonts w:hint="eastAsia" w:ascii="Times New Roman" w:hAnsi="Times New Roman" w:eastAsia="方正仿宋简体" w:cs="方正仿宋简体"/>
          <w:sz w:val="32"/>
          <w:szCs w:val="32"/>
        </w:rPr>
        <w:t>4</w:t>
      </w:r>
      <w:r>
        <w:rPr>
          <w:rFonts w:hint="eastAsia" w:ascii="方正仿宋简体" w:hAnsi="方正仿宋简体" w:eastAsia="方正仿宋简体" w:cs="方正仿宋简体"/>
          <w:sz w:val="32"/>
          <w:szCs w:val="32"/>
        </w:rPr>
        <w:t>个项目，预算审定总额</w:t>
      </w:r>
      <w:r>
        <w:rPr>
          <w:rFonts w:hint="eastAsia" w:ascii="Times New Roman" w:hAnsi="Times New Roman" w:eastAsia="方正仿宋简体" w:cs="方正仿宋简体"/>
          <w:sz w:val="32"/>
          <w:szCs w:val="32"/>
        </w:rPr>
        <w:t>1</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53</w:t>
      </w:r>
      <w:r>
        <w:rPr>
          <w:rFonts w:hint="eastAsia" w:ascii="方正仿宋简体" w:hAnsi="方正仿宋简体" w:eastAsia="方正仿宋简体" w:cs="方正仿宋简体"/>
          <w:sz w:val="32"/>
          <w:szCs w:val="32"/>
        </w:rPr>
        <w:t>亿元，同比</w:t>
      </w:r>
      <w:r>
        <w:rPr>
          <w:rFonts w:hint="eastAsia" w:ascii="Times New Roman" w:hAnsi="Times New Roman" w:eastAsia="方正仿宋简体" w:cs="方正仿宋简体"/>
          <w:sz w:val="32"/>
          <w:szCs w:val="32"/>
        </w:rPr>
        <w:t>2025</w:t>
      </w:r>
      <w:r>
        <w:rPr>
          <w:rFonts w:hint="eastAsia" w:ascii="方正仿宋简体" w:hAnsi="方正仿宋简体" w:eastAsia="方正仿宋简体" w:cs="方正仿宋简体"/>
          <w:sz w:val="32"/>
          <w:szCs w:val="32"/>
        </w:rPr>
        <w:t>年压减</w:t>
      </w:r>
      <w:r>
        <w:rPr>
          <w:rFonts w:hint="eastAsia" w:ascii="Times New Roman" w:hAnsi="Times New Roman" w:eastAsia="方正仿宋简体" w:cs="方正仿宋简体"/>
          <w:sz w:val="32"/>
          <w:szCs w:val="32"/>
        </w:rPr>
        <w:t>28</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53</w:t>
      </w:r>
      <w:r>
        <w:rPr>
          <w:rFonts w:hint="eastAsia" w:ascii="方正仿宋简体" w:hAnsi="方正仿宋简体" w:eastAsia="方正仿宋简体" w:cs="方正仿宋简体"/>
          <w:sz w:val="32"/>
          <w:szCs w:val="32"/>
        </w:rPr>
        <w:t>%。</w:t>
      </w:r>
    </w:p>
    <w:p>
      <w:pPr>
        <w:spacing w:line="592" w:lineRule="exact"/>
        <w:ind w:firstLine="640" w:firstLineChars="200"/>
        <w:textAlignment w:val="center"/>
        <w:rPr>
          <w:rFonts w:ascii="方正仿宋简体" w:eastAsia="方正仿宋简体"/>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七</w:t>
      </w:r>
      <w:r>
        <w:rPr>
          <w:rFonts w:hint="eastAsia" w:ascii="楷体" w:hAnsi="楷体" w:eastAsia="楷体" w:cs="楷体"/>
          <w:sz w:val="32"/>
          <w:szCs w:val="32"/>
        </w:rPr>
        <w:t>）</w:t>
      </w:r>
      <w:r>
        <w:rPr>
          <w:rFonts w:hint="eastAsia" w:ascii="楷体" w:hAnsi="楷体" w:eastAsia="楷体" w:cs="楷体"/>
          <w:sz w:val="32"/>
          <w:szCs w:val="32"/>
          <w:lang w:eastAsia="zh-CN"/>
        </w:rPr>
        <w:t>培训指导力度不断加大</w:t>
      </w:r>
      <w:r>
        <w:rPr>
          <w:rFonts w:hint="eastAsia" w:ascii="楷体" w:hAnsi="楷体" w:eastAsia="楷体" w:cs="楷体"/>
          <w:sz w:val="32"/>
          <w:szCs w:val="32"/>
        </w:rPr>
        <w:t>。</w:t>
      </w:r>
      <w:r>
        <w:rPr>
          <w:rFonts w:hint="eastAsia" w:ascii="方正仿宋简体" w:eastAsia="方正仿宋简体"/>
          <w:sz w:val="32"/>
          <w:szCs w:val="32"/>
          <w:lang w:eastAsia="zh-CN"/>
        </w:rPr>
        <w:t>全年累计</w:t>
      </w:r>
      <w:r>
        <w:rPr>
          <w:rFonts w:hint="eastAsia" w:ascii="方正仿宋简体" w:eastAsia="方正仿宋简体"/>
          <w:sz w:val="32"/>
          <w:szCs w:val="32"/>
        </w:rPr>
        <w:t>开展财政上门服务</w:t>
      </w:r>
      <w:r>
        <w:rPr>
          <w:rFonts w:ascii="Times New Roman" w:hAnsi="Times New Roman" w:eastAsia="方正仿宋简体"/>
          <w:sz w:val="32"/>
          <w:szCs w:val="32"/>
        </w:rPr>
        <w:t>2</w:t>
      </w:r>
      <w:r>
        <w:rPr>
          <w:rFonts w:hint="eastAsia" w:ascii="方正仿宋简体" w:eastAsia="方正仿宋简体"/>
          <w:sz w:val="32"/>
          <w:szCs w:val="32"/>
        </w:rPr>
        <w:t>次，手把手</w:t>
      </w:r>
      <w:r>
        <w:rPr>
          <w:rFonts w:ascii="方正仿宋简体" w:eastAsia="方正仿宋简体"/>
          <w:sz w:val="32"/>
          <w:szCs w:val="32"/>
        </w:rPr>
        <w:t>指导</w:t>
      </w:r>
      <w:r>
        <w:rPr>
          <w:rFonts w:hint="eastAsia" w:ascii="方正仿宋简体" w:eastAsia="方正仿宋简体"/>
          <w:sz w:val="32"/>
          <w:szCs w:val="32"/>
        </w:rPr>
        <w:t>预算单位提升绩效目标设置实操能力、完善绩效预算管理相关内控制度。组织开展多层次、针对性业务培训</w:t>
      </w:r>
      <w:r>
        <w:rPr>
          <w:rFonts w:ascii="Times New Roman" w:hAnsi="Times New Roman" w:eastAsia="方正仿宋简体"/>
          <w:sz w:val="32"/>
          <w:szCs w:val="32"/>
        </w:rPr>
        <w:t>2</w:t>
      </w:r>
      <w:r>
        <w:rPr>
          <w:rFonts w:hint="eastAsia" w:ascii="方正仿宋简体" w:eastAsia="方正仿宋简体"/>
          <w:sz w:val="32"/>
          <w:szCs w:val="32"/>
        </w:rPr>
        <w:t>场次，覆盖</w:t>
      </w:r>
      <w:r>
        <w:rPr>
          <w:rFonts w:hint="eastAsia" w:ascii="方正仿宋简体" w:eastAsia="方正仿宋简体"/>
          <w:sz w:val="32"/>
          <w:szCs w:val="32"/>
          <w:lang w:eastAsia="zh-CN"/>
        </w:rPr>
        <w:t>绩效管理经办人员</w:t>
      </w:r>
      <w:r>
        <w:rPr>
          <w:rFonts w:hint="eastAsia" w:ascii="Times New Roman" w:hAnsi="Times New Roman" w:eastAsia="方正仿宋简体"/>
          <w:sz w:val="32"/>
          <w:szCs w:val="32"/>
          <w:lang w:val="en-US" w:eastAsia="zh-CN"/>
        </w:rPr>
        <w:t>496</w:t>
      </w:r>
      <w:r>
        <w:rPr>
          <w:rFonts w:hint="eastAsia" w:ascii="方正仿宋简体" w:eastAsia="方正仿宋简体"/>
          <w:sz w:val="32"/>
          <w:szCs w:val="32"/>
        </w:rPr>
        <w:t>人次，切实将预算绩效管理意识</w:t>
      </w:r>
      <w:r>
        <w:rPr>
          <w:rFonts w:ascii="方正仿宋简体" w:eastAsia="方正仿宋简体"/>
          <w:sz w:val="32"/>
          <w:szCs w:val="32"/>
        </w:rPr>
        <w:t>转化为推动</w:t>
      </w:r>
      <w:r>
        <w:rPr>
          <w:rFonts w:hint="eastAsia" w:ascii="方正仿宋简体" w:eastAsia="方正仿宋简体"/>
          <w:sz w:val="32"/>
          <w:szCs w:val="32"/>
        </w:rPr>
        <w:t>部门工作的强大动力</w:t>
      </w:r>
      <w:r>
        <w:rPr>
          <w:rFonts w:ascii="方正仿宋简体" w:eastAsia="方正仿宋简体"/>
          <w:sz w:val="32"/>
          <w:szCs w:val="32"/>
        </w:rPr>
        <w:t>。</w:t>
      </w:r>
    </w:p>
    <w:p>
      <w:pPr>
        <w:spacing w:line="592" w:lineRule="exact"/>
        <w:ind w:firstLine="640" w:firstLineChars="200"/>
        <w:textAlignment w:val="center"/>
        <w:rPr>
          <w:rFonts w:hint="eastAsia" w:ascii="黑体" w:hAnsi="黑体" w:eastAsia="黑体" w:cs="黑体"/>
          <w:sz w:val="32"/>
          <w:szCs w:val="32"/>
          <w:lang w:eastAsia="zh-CN"/>
        </w:rPr>
      </w:pPr>
      <w:r>
        <w:rPr>
          <w:rFonts w:hint="eastAsia" w:ascii="黑体" w:hAnsi="黑体" w:eastAsia="黑体" w:cs="黑体"/>
          <w:sz w:val="32"/>
          <w:szCs w:val="32"/>
        </w:rPr>
        <w:t>三、</w:t>
      </w:r>
      <w:r>
        <w:rPr>
          <w:rFonts w:hint="eastAsia" w:ascii="黑体" w:hAnsi="黑体" w:eastAsia="黑体" w:cs="黑体"/>
          <w:sz w:val="32"/>
          <w:szCs w:val="32"/>
          <w:lang w:eastAsia="zh-CN"/>
        </w:rPr>
        <w:t>突出特色亮点，勇于探索创新，绩效管理效能有效提升</w:t>
      </w:r>
    </w:p>
    <w:p>
      <w:pPr>
        <w:spacing w:line="592" w:lineRule="exact"/>
        <w:ind w:firstLine="640" w:firstLineChars="200"/>
        <w:textAlignment w:val="center"/>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在扎实完成规定动作的同时，我市结合实际，积极探索，形成了一批具有那曲特色的工作亮点。</w:t>
      </w:r>
    </w:p>
    <w:p>
      <w:pPr>
        <w:spacing w:line="592" w:lineRule="exact"/>
        <w:ind w:firstLine="640" w:firstLineChars="200"/>
        <w:textAlignment w:val="center"/>
        <w:rPr>
          <w:rFonts w:hint="eastAsia" w:ascii="方正仿宋简体" w:hAnsi="方正仿宋简体" w:eastAsia="方正仿宋简体" w:cs="方正仿宋简体"/>
          <w:sz w:val="32"/>
          <w:szCs w:val="32"/>
          <w:lang w:eastAsia="zh-CN"/>
        </w:rPr>
      </w:pPr>
      <w:r>
        <w:rPr>
          <w:rFonts w:hint="eastAsia" w:ascii="楷体" w:hAnsi="楷体" w:eastAsia="楷体" w:cs="楷体"/>
          <w:sz w:val="32"/>
          <w:szCs w:val="32"/>
        </w:rPr>
        <w:t>（一）</w:t>
      </w:r>
      <w:r>
        <w:rPr>
          <w:rFonts w:hint="eastAsia" w:ascii="楷体" w:hAnsi="楷体" w:eastAsia="楷体" w:cs="楷体"/>
          <w:sz w:val="32"/>
          <w:szCs w:val="32"/>
          <w:lang w:eastAsia="zh-CN"/>
        </w:rPr>
        <w:t>突出“高位推动”，强力压实主体责任</w:t>
      </w:r>
      <w:r>
        <w:rPr>
          <w:rFonts w:hint="eastAsia" w:ascii="楷体" w:hAnsi="楷体" w:eastAsia="楷体" w:cs="楷体"/>
          <w:sz w:val="32"/>
          <w:szCs w:val="32"/>
        </w:rPr>
        <w:t>。</w:t>
      </w:r>
      <w:r>
        <w:rPr>
          <w:rFonts w:hint="eastAsia" w:ascii="方正仿宋简体" w:hAnsi="方正仿宋简体" w:eastAsia="方正仿宋简体" w:cs="方正仿宋简体"/>
          <w:sz w:val="32"/>
          <w:szCs w:val="32"/>
          <w:lang w:eastAsia="zh-CN"/>
        </w:rPr>
        <w:t>将预算绩效管理改革纳入市委、市政府重点督查范围，市领导多次在重要会议上部署谋划，针对重点绩效评价发现的问题，明确要求深挖根源、限期整改、完善机制，极大提升了各级各部门对绩效管理的重视程度和执行力，实现了从“要我有绩效”到“我要有绩效”的根本性转变。</w:t>
      </w:r>
    </w:p>
    <w:p>
      <w:pPr>
        <w:spacing w:line="592" w:lineRule="exact"/>
        <w:ind w:firstLine="640" w:firstLineChars="200"/>
        <w:textAlignment w:val="center"/>
        <w:rPr>
          <w:rFonts w:hint="eastAsia" w:ascii="方正仿宋简体" w:hAnsi="方正仿宋简体" w:eastAsia="方正仿宋简体" w:cs="方正仿宋简体"/>
          <w:sz w:val="32"/>
          <w:szCs w:val="32"/>
        </w:rPr>
      </w:pPr>
      <w:r>
        <w:rPr>
          <w:rFonts w:hint="eastAsia" w:ascii="楷体" w:hAnsi="楷体" w:eastAsia="楷体" w:cs="楷体"/>
          <w:sz w:val="32"/>
          <w:szCs w:val="32"/>
        </w:rPr>
        <w:t>（二）</w:t>
      </w:r>
      <w:r>
        <w:rPr>
          <w:rFonts w:hint="eastAsia" w:ascii="楷体" w:hAnsi="楷体" w:eastAsia="楷体" w:cs="楷体"/>
          <w:sz w:val="32"/>
          <w:szCs w:val="32"/>
          <w:lang w:eastAsia="zh-CN"/>
        </w:rPr>
        <w:t>深化“上门服务”，破解基层能力短板。</w:t>
      </w:r>
      <w:r>
        <w:rPr>
          <w:rFonts w:hint="eastAsia" w:ascii="方正仿宋简体" w:hAnsi="方正仿宋简体" w:eastAsia="方正仿宋简体" w:cs="方正仿宋简体"/>
          <w:sz w:val="32"/>
          <w:szCs w:val="32"/>
          <w:lang w:eastAsia="zh-CN"/>
        </w:rPr>
        <w:t>针对部分单位绩效管理能力不足、“业务财务脱节”等问题，</w:t>
      </w:r>
      <w:r>
        <w:rPr>
          <w:rFonts w:hint="eastAsia" w:ascii="方正仿宋简体" w:hAnsi="方正仿宋简体" w:eastAsia="方正仿宋简体" w:cs="方正仿宋简体"/>
          <w:sz w:val="32"/>
          <w:szCs w:val="32"/>
        </w:rPr>
        <w:t>大力推行财政上门服务等方式，精准对接预算单位实际需求，帮助厘清绩效管理职责、完善绩效目标设定</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全年累计开展财政上门服务</w:t>
      </w:r>
      <w:r>
        <w:rPr>
          <w:rFonts w:hint="eastAsia" w:ascii="Times New Roman" w:hAnsi="Times New Roman" w:eastAsia="方正仿宋简体" w:cs="方正仿宋简体"/>
          <w:sz w:val="32"/>
          <w:szCs w:val="32"/>
        </w:rPr>
        <w:t>2</w:t>
      </w:r>
      <w:r>
        <w:rPr>
          <w:rFonts w:hint="eastAsia" w:ascii="方正仿宋简体" w:hAnsi="方正仿宋简体" w:eastAsia="方正仿宋简体" w:cs="方正仿宋简体"/>
          <w:sz w:val="32"/>
          <w:szCs w:val="32"/>
        </w:rPr>
        <w:t>次，</w:t>
      </w:r>
      <w:r>
        <w:rPr>
          <w:rFonts w:hint="eastAsia" w:ascii="方正仿宋简体" w:hAnsi="方正仿宋简体" w:eastAsia="方正仿宋简体" w:cs="方正仿宋简体"/>
          <w:sz w:val="32"/>
          <w:szCs w:val="32"/>
          <w:lang w:eastAsia="zh-CN"/>
        </w:rPr>
        <w:t>有效提升了基层单位的实操能力</w:t>
      </w:r>
      <w:r>
        <w:rPr>
          <w:rFonts w:hint="eastAsia" w:ascii="方正仿宋简体" w:hAnsi="方正仿宋简体" w:eastAsia="方正仿宋简体" w:cs="方正仿宋简体"/>
          <w:sz w:val="32"/>
          <w:szCs w:val="32"/>
        </w:rPr>
        <w:t>。</w:t>
      </w:r>
    </w:p>
    <w:p>
      <w:pPr>
        <w:spacing w:line="592" w:lineRule="exact"/>
        <w:ind w:firstLine="640" w:firstLineChars="200"/>
        <w:textAlignment w:val="center"/>
        <w:rPr>
          <w:rFonts w:hint="eastAsia" w:ascii="方正仿宋简体" w:hAnsi="方正仿宋简体" w:eastAsia="方正仿宋简体" w:cs="方正仿宋简体"/>
          <w:sz w:val="32"/>
          <w:szCs w:val="32"/>
          <w:lang w:eastAsia="zh-CN"/>
        </w:rPr>
      </w:pPr>
      <w:r>
        <w:rPr>
          <w:rFonts w:hint="eastAsia" w:ascii="楷体" w:hAnsi="楷体" w:eastAsia="楷体" w:cs="楷体"/>
          <w:sz w:val="32"/>
          <w:szCs w:val="32"/>
          <w:lang w:eastAsia="zh-CN"/>
        </w:rPr>
        <w:t>（三）创新“监测机制”，推动财政平稳运行。</w:t>
      </w:r>
      <w:r>
        <w:rPr>
          <w:rFonts w:hint="eastAsia" w:ascii="方正仿宋简体" w:hAnsi="方正仿宋简体" w:eastAsia="方正仿宋简体" w:cs="方正仿宋简体"/>
          <w:sz w:val="32"/>
          <w:szCs w:val="32"/>
          <w:lang w:eastAsia="zh-CN"/>
        </w:rPr>
        <w:t>创新建立并常态化执行“财政运行月监测、重点支出周调度”机制，覆盖收支执行、项目支出等关键指标，全年发布各类月报</w:t>
      </w:r>
      <w:r>
        <w:rPr>
          <w:rFonts w:hint="eastAsia" w:ascii="Times New Roman" w:hAnsi="Times New Roman" w:eastAsia="方正仿宋简体" w:cs="方正仿宋简体"/>
          <w:sz w:val="32"/>
          <w:szCs w:val="32"/>
          <w:lang w:val="en-US" w:eastAsia="zh-CN"/>
        </w:rPr>
        <w:t>12</w:t>
      </w:r>
      <w:r>
        <w:rPr>
          <w:rFonts w:hint="eastAsia" w:ascii="方正仿宋简体" w:hAnsi="方正仿宋简体" w:eastAsia="方正仿宋简体" w:cs="方正仿宋简体"/>
          <w:sz w:val="32"/>
          <w:szCs w:val="32"/>
          <w:lang w:eastAsia="zh-CN"/>
        </w:rPr>
        <w:t>期、周报</w:t>
      </w:r>
      <w:r>
        <w:rPr>
          <w:rFonts w:hint="default" w:ascii="Times New Roman" w:hAnsi="Times New Roman" w:eastAsia="方正仿宋简体" w:cs="Times New Roman"/>
          <w:sz w:val="32"/>
          <w:szCs w:val="32"/>
          <w:lang w:val="en-US" w:eastAsia="zh-CN"/>
        </w:rPr>
        <w:t>6</w:t>
      </w:r>
      <w:r>
        <w:rPr>
          <w:rFonts w:hint="eastAsia" w:ascii="方正仿宋简体" w:hAnsi="方正仿宋简体" w:eastAsia="方正仿宋简体" w:cs="方正仿宋简体"/>
          <w:sz w:val="32"/>
          <w:szCs w:val="32"/>
          <w:lang w:val="en-US" w:eastAsia="zh-CN"/>
        </w:rPr>
        <w:t>期</w:t>
      </w:r>
      <w:r>
        <w:rPr>
          <w:rFonts w:hint="eastAsia" w:ascii="方正仿宋简体" w:hAnsi="方正仿宋简体" w:eastAsia="方正仿宋简体" w:cs="方正仿宋简体"/>
          <w:sz w:val="32"/>
          <w:szCs w:val="32"/>
          <w:lang w:eastAsia="zh-CN"/>
        </w:rPr>
        <w:t>，据此精准印发《提醒函》</w:t>
      </w:r>
      <w:r>
        <w:rPr>
          <w:rFonts w:hint="eastAsia" w:ascii="Times New Roman" w:hAnsi="Times New Roman" w:eastAsia="方正仿宋简体" w:cs="方正仿宋简体"/>
          <w:sz w:val="32"/>
          <w:szCs w:val="32"/>
          <w:lang w:eastAsia="zh-CN"/>
        </w:rPr>
        <w:t>32</w:t>
      </w:r>
      <w:r>
        <w:rPr>
          <w:rFonts w:hint="eastAsia" w:ascii="方正仿宋简体" w:hAnsi="方正仿宋简体" w:eastAsia="方正仿宋简体" w:cs="方正仿宋简体"/>
          <w:sz w:val="32"/>
          <w:szCs w:val="32"/>
          <w:lang w:eastAsia="zh-CN"/>
        </w:rPr>
        <w:t>份,发现并纠偏问题</w:t>
      </w:r>
      <w:r>
        <w:rPr>
          <w:rFonts w:hint="eastAsia" w:ascii="Times New Roman" w:hAnsi="Times New Roman" w:eastAsia="方正仿宋简体" w:cs="方正仿宋简体"/>
          <w:sz w:val="32"/>
          <w:szCs w:val="32"/>
          <w:lang w:eastAsia="zh-CN"/>
        </w:rPr>
        <w:t>60</w:t>
      </w:r>
      <w:r>
        <w:rPr>
          <w:rFonts w:hint="eastAsia" w:ascii="方正仿宋简体" w:hAnsi="方正仿宋简体" w:eastAsia="方正仿宋简体" w:cs="方正仿宋简体"/>
          <w:sz w:val="32"/>
          <w:szCs w:val="32"/>
          <w:lang w:eastAsia="zh-CN"/>
        </w:rPr>
        <w:t>个，促进绩效目标如期实现。探索建立“财政+部门”绩效管理协同联动机制，推动绩效管理从“财政主导评价”向“部门自主评价”拓展，本年指导预算部门对</w:t>
      </w:r>
      <w:r>
        <w:rPr>
          <w:rFonts w:hint="eastAsia" w:ascii="Times New Roman" w:hAnsi="Times New Roman" w:eastAsia="方正仿宋简体" w:cs="方正仿宋简体"/>
          <w:sz w:val="32"/>
          <w:szCs w:val="32"/>
          <w:lang w:eastAsia="zh-CN"/>
        </w:rPr>
        <w:t>2020</w:t>
      </w:r>
      <w:r>
        <w:rPr>
          <w:rFonts w:hint="eastAsia" w:ascii="方正仿宋简体" w:hAnsi="方正仿宋简体" w:eastAsia="方正仿宋简体" w:cs="方正仿宋简体"/>
          <w:sz w:val="32"/>
          <w:szCs w:val="32"/>
          <w:lang w:eastAsia="zh-CN"/>
        </w:rPr>
        <w:t>年至</w:t>
      </w:r>
      <w:r>
        <w:rPr>
          <w:rFonts w:hint="eastAsia" w:ascii="Times New Roman" w:hAnsi="Times New Roman" w:eastAsia="方正仿宋简体" w:cs="方正仿宋简体"/>
          <w:sz w:val="32"/>
          <w:szCs w:val="32"/>
          <w:lang w:eastAsia="zh-CN"/>
        </w:rPr>
        <w:t>2023</w:t>
      </w:r>
      <w:r>
        <w:rPr>
          <w:rFonts w:hint="eastAsia" w:ascii="方正仿宋简体" w:hAnsi="方正仿宋简体" w:eastAsia="方正仿宋简体" w:cs="方正仿宋简体"/>
          <w:sz w:val="32"/>
          <w:szCs w:val="32"/>
          <w:lang w:eastAsia="zh-CN"/>
        </w:rPr>
        <w:t>年已验收的</w:t>
      </w:r>
      <w:r>
        <w:rPr>
          <w:rFonts w:hint="eastAsia" w:ascii="Times New Roman" w:hAnsi="Times New Roman" w:eastAsia="方正仿宋简体" w:cs="方正仿宋简体"/>
          <w:sz w:val="32"/>
          <w:szCs w:val="32"/>
          <w:lang w:eastAsia="zh-CN"/>
        </w:rPr>
        <w:t>20</w:t>
      </w:r>
      <w:r>
        <w:rPr>
          <w:rFonts w:hint="eastAsia" w:ascii="方正仿宋简体" w:hAnsi="方正仿宋简体" w:eastAsia="方正仿宋简体" w:cs="方正仿宋简体"/>
          <w:sz w:val="32"/>
          <w:szCs w:val="32"/>
          <w:lang w:eastAsia="zh-CN"/>
        </w:rPr>
        <w:t>个市级科研项目开展重点绩效自评，涉及金额</w:t>
      </w:r>
      <w:r>
        <w:rPr>
          <w:rFonts w:hint="eastAsia" w:ascii="Times New Roman" w:hAnsi="Times New Roman" w:eastAsia="方正仿宋简体" w:cs="方正仿宋简体"/>
          <w:sz w:val="32"/>
          <w:szCs w:val="32"/>
          <w:lang w:eastAsia="zh-CN"/>
        </w:rPr>
        <w:t>1734</w:t>
      </w:r>
      <w:r>
        <w:rPr>
          <w:rFonts w:hint="eastAsia" w:ascii="方正仿宋简体" w:hAnsi="方正仿宋简体" w:eastAsia="方正仿宋简体" w:cs="方正仿宋简体"/>
          <w:sz w:val="32"/>
          <w:szCs w:val="32"/>
          <w:lang w:eastAsia="zh-CN"/>
        </w:rPr>
        <w:t>万元。</w:t>
      </w:r>
    </w:p>
    <w:p>
      <w:pPr>
        <w:spacing w:line="592" w:lineRule="exact"/>
        <w:ind w:firstLine="640" w:firstLineChars="200"/>
        <w:textAlignment w:val="center"/>
        <w:rPr>
          <w:rFonts w:hint="eastAsia" w:ascii="方正仿宋简体" w:eastAsia="方正仿宋简体"/>
          <w:sz w:val="32"/>
          <w:szCs w:val="32"/>
          <w:lang w:eastAsia="zh-CN"/>
        </w:rPr>
      </w:pPr>
      <w:r>
        <w:rPr>
          <w:rFonts w:hint="eastAsia" w:ascii="楷体" w:hAnsi="楷体" w:eastAsia="楷体" w:cs="楷体"/>
          <w:sz w:val="32"/>
          <w:szCs w:val="32"/>
          <w:lang w:val="en-US" w:eastAsia="zh-CN"/>
        </w:rPr>
        <w:t>（四）强化“纵横联动”，构建协同监管网络。</w:t>
      </w:r>
      <w:r>
        <w:rPr>
          <w:rFonts w:hint="eastAsia" w:ascii="方正仿宋简体" w:hAnsi="方正仿宋简体" w:eastAsia="方正仿宋简体" w:cs="方正仿宋简体"/>
          <w:sz w:val="32"/>
          <w:szCs w:val="32"/>
          <w:lang w:val="en-US" w:eastAsia="zh-CN"/>
        </w:rPr>
        <w:t>积极探索财政与审计的监督协同，推动建立财审信息共享与成果互认机制，形成监督合力。</w:t>
      </w:r>
      <w:r>
        <w:rPr>
          <w:rFonts w:hint="eastAsia" w:ascii="方正仿宋简体" w:eastAsia="方正仿宋简体"/>
          <w:sz w:val="32"/>
          <w:szCs w:val="32"/>
        </w:rPr>
        <w:t>持续加强与人大的工作衔接，推动绩效目标</w:t>
      </w:r>
      <w:r>
        <w:rPr>
          <w:rFonts w:hint="eastAsia" w:ascii="方正仿宋简体" w:eastAsia="方正仿宋简体"/>
          <w:sz w:val="32"/>
          <w:szCs w:val="32"/>
          <w:lang w:eastAsia="zh-CN"/>
        </w:rPr>
        <w:t>和重点支出绩效</w:t>
      </w:r>
      <w:r>
        <w:rPr>
          <w:rFonts w:hint="eastAsia" w:ascii="方正仿宋简体" w:eastAsia="方正仿宋简体"/>
          <w:sz w:val="32"/>
          <w:szCs w:val="32"/>
        </w:rPr>
        <w:t>评价结果依法</w:t>
      </w:r>
      <w:r>
        <w:rPr>
          <w:rFonts w:hint="eastAsia" w:ascii="方正仿宋简体" w:eastAsia="方正仿宋简体"/>
          <w:sz w:val="32"/>
          <w:szCs w:val="32"/>
          <w:lang w:eastAsia="zh-CN"/>
        </w:rPr>
        <w:t>报送</w:t>
      </w:r>
      <w:r>
        <w:rPr>
          <w:rFonts w:hint="eastAsia" w:ascii="方正仿宋简体" w:eastAsia="方正仿宋简体"/>
          <w:sz w:val="32"/>
          <w:szCs w:val="32"/>
        </w:rPr>
        <w:t>人大</w:t>
      </w:r>
      <w:r>
        <w:rPr>
          <w:rFonts w:hint="eastAsia" w:ascii="方正仿宋简体" w:eastAsia="方正仿宋简体"/>
          <w:sz w:val="32"/>
          <w:szCs w:val="32"/>
          <w:lang w:eastAsia="zh-CN"/>
        </w:rPr>
        <w:t>，主动接受监督。在法定公开基础上，通过政务网站等多种渠道公开绩效目标和评价结果，持续拓展绩效信息公开的深度与广度。</w:t>
      </w:r>
    </w:p>
    <w:p>
      <w:pPr>
        <w:spacing w:line="592" w:lineRule="exact"/>
        <w:ind w:firstLine="640" w:firstLineChars="200"/>
        <w:textAlignment w:val="center"/>
        <w:rPr>
          <w:rFonts w:hint="eastAsia" w:ascii="方正仿宋简体" w:hAnsi="方正仿宋简体" w:eastAsia="方正仿宋简体" w:cs="方正仿宋简体"/>
          <w:sz w:val="32"/>
          <w:szCs w:val="32"/>
          <w:lang w:eastAsia="zh-CN"/>
        </w:rPr>
      </w:pPr>
      <w:r>
        <w:rPr>
          <w:rFonts w:hint="eastAsia" w:ascii="楷体" w:hAnsi="楷体" w:eastAsia="楷体" w:cs="楷体"/>
          <w:sz w:val="32"/>
          <w:szCs w:val="32"/>
          <w:lang w:eastAsia="zh-CN"/>
        </w:rPr>
        <w:t>（五）运用“数字赋能”，提升智慧监管水平。</w:t>
      </w:r>
      <w:r>
        <w:rPr>
          <w:rFonts w:hint="eastAsia" w:ascii="方正仿宋简体" w:hAnsi="方正仿宋简体" w:eastAsia="方正仿宋简体" w:cs="方正仿宋简体"/>
          <w:sz w:val="32"/>
          <w:szCs w:val="32"/>
          <w:lang w:eastAsia="zh-CN"/>
        </w:rPr>
        <w:t>充分依托预算管理一体化系统，构建绩效目标智能审核规则库，对目标设置的完整性、相关性、可衡量性进行自动校验与提示，加大对项目支出绩效目标的审核力度，对目标完成进度明显滞后的项目，加紧督促预算单位及时干预、纠偏。</w:t>
      </w:r>
    </w:p>
    <w:p>
      <w:pPr>
        <w:spacing w:line="592" w:lineRule="exact"/>
        <w:ind w:firstLine="640" w:firstLineChars="200"/>
        <w:textAlignment w:val="center"/>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在取得成效的同时，我们也清醒认识到在绩效预算管理过程中仍然存在一些问题和挑战：部分单位绩效理念仍需深化、“重支出、轻绩效”现象仍然存在；绩效指标和标准体系的科学性、实用性有待进一步提升；基层绩效管理力量和专业能力相对薄弱；评价结果应用的刚性约束和广度深度仍需加强等。</w:t>
      </w:r>
    </w:p>
    <w:p>
      <w:pPr>
        <w:spacing w:line="592" w:lineRule="exact"/>
        <w:ind w:firstLine="640" w:firstLineChars="200"/>
        <w:textAlignment w:val="cente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针对以上问题，并结合自治区要求，提出以下建议：</w:t>
      </w:r>
      <w:r>
        <w:rPr>
          <w:rFonts w:hint="eastAsia" w:ascii="方正仿宋简体" w:hAnsi="方正仿宋简体" w:eastAsia="方正仿宋简体" w:cs="方正仿宋简体"/>
          <w:b/>
          <w:bCs/>
          <w:sz w:val="32"/>
          <w:szCs w:val="32"/>
        </w:rPr>
        <w:t>一是加强顶层设计。</w:t>
      </w:r>
      <w:r>
        <w:rPr>
          <w:rFonts w:hint="eastAsia" w:ascii="方正仿宋简体" w:hAnsi="方正仿宋简体" w:eastAsia="方正仿宋简体" w:cs="方正仿宋简体"/>
          <w:sz w:val="32"/>
          <w:szCs w:val="32"/>
        </w:rPr>
        <w:t>建议自治区层面加强预算绩效管理领域的制度建设，出台更具操作性、标准化的工作指南与操作指引。</w:t>
      </w:r>
      <w:r>
        <w:rPr>
          <w:rFonts w:hint="eastAsia" w:ascii="方正仿宋简体" w:hAnsi="方正仿宋简体" w:eastAsia="方正仿宋简体" w:cs="方正仿宋简体"/>
          <w:b/>
          <w:bCs/>
          <w:sz w:val="32"/>
          <w:szCs w:val="32"/>
        </w:rPr>
        <w:t>二是加大培训力度。</w:t>
      </w:r>
      <w:r>
        <w:rPr>
          <w:rFonts w:hint="eastAsia" w:ascii="方正仿宋简体" w:hAnsi="方正仿宋简体" w:eastAsia="方正仿宋简体" w:cs="方正仿宋简体"/>
          <w:sz w:val="32"/>
          <w:szCs w:val="32"/>
        </w:rPr>
        <w:t>建议加大对市县两级财政及基层预算单位的系统性、实战化培训力度，并适时组织跨区域预算绩效管理经验交流座谈会。</w:t>
      </w:r>
      <w:r>
        <w:rPr>
          <w:rFonts w:hint="eastAsia" w:ascii="方正仿宋简体" w:hAnsi="方正仿宋简体" w:eastAsia="方正仿宋简体" w:cs="方正仿宋简体"/>
          <w:b/>
          <w:bCs/>
          <w:sz w:val="32"/>
          <w:szCs w:val="32"/>
        </w:rPr>
        <w:t>三是强化结果应用。</w:t>
      </w:r>
      <w:r>
        <w:rPr>
          <w:rFonts w:hint="eastAsia" w:ascii="方正仿宋简体" w:hAnsi="方正仿宋简体" w:eastAsia="方正仿宋简体" w:cs="方正仿宋简体"/>
          <w:sz w:val="32"/>
          <w:szCs w:val="32"/>
        </w:rPr>
        <w:t>建议从制度层面进一步强化绩效评价结果应用的刚性约束，明确挂钩比例和具体</w:t>
      </w:r>
      <w:r>
        <w:rPr>
          <w:rFonts w:hint="eastAsia" w:ascii="方正仿宋简体" w:hAnsi="方正仿宋简体" w:eastAsia="方正仿宋简体" w:cs="方正仿宋简体"/>
          <w:sz w:val="32"/>
          <w:szCs w:val="32"/>
          <w:lang w:eastAsia="zh-CN"/>
        </w:rPr>
        <w:t>应用</w:t>
      </w:r>
      <w:r>
        <w:rPr>
          <w:rFonts w:hint="eastAsia" w:ascii="方正仿宋简体" w:hAnsi="方正仿宋简体" w:eastAsia="方正仿宋简体" w:cs="方正仿宋简体"/>
          <w:sz w:val="32"/>
          <w:szCs w:val="32"/>
        </w:rPr>
        <w:t>程序。</w:t>
      </w:r>
    </w:p>
    <w:p>
      <w:pPr>
        <w:spacing w:line="592" w:lineRule="exact"/>
        <w:ind w:firstLine="640" w:firstLineChars="200"/>
        <w:textAlignment w:val="center"/>
        <w:rPr>
          <w:rFonts w:hint="eastAsia" w:ascii="黑体" w:hAnsi="黑体" w:eastAsia="黑体" w:cs="黑体"/>
          <w:sz w:val="32"/>
          <w:szCs w:val="32"/>
          <w:lang w:eastAsia="zh-CN"/>
        </w:rPr>
      </w:pPr>
      <w:r>
        <w:rPr>
          <w:rFonts w:hint="eastAsia" w:ascii="黑体" w:hAnsi="黑体" w:eastAsia="黑体" w:cs="黑体"/>
          <w:sz w:val="32"/>
          <w:szCs w:val="32"/>
        </w:rPr>
        <w:t>四、</w:t>
      </w:r>
      <w:r>
        <w:rPr>
          <w:rFonts w:hint="eastAsia" w:ascii="黑体" w:hAnsi="黑体" w:eastAsia="黑体" w:cs="黑体"/>
          <w:sz w:val="32"/>
          <w:szCs w:val="32"/>
          <w:lang w:eastAsia="zh-CN"/>
        </w:rPr>
        <w:t>正视问题挑战，明确改进方向，打开绩效管理新局面</w:t>
      </w:r>
    </w:p>
    <w:p>
      <w:pPr>
        <w:spacing w:line="592" w:lineRule="exact"/>
        <w:ind w:firstLine="640" w:firstLineChars="200"/>
        <w:textAlignment w:val="center"/>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为全面落实预算绩效管理要求，推动全市财政资源配置效率和使用效益整体提升，下一阶段重要工作具体如下：</w:t>
      </w:r>
    </w:p>
    <w:p>
      <w:pPr>
        <w:spacing w:line="592" w:lineRule="exact"/>
        <w:ind w:firstLine="640" w:firstLineChars="200"/>
        <w:textAlignment w:val="center"/>
        <w:rPr>
          <w:rFonts w:hint="eastAsia" w:ascii="方正仿宋简体" w:eastAsia="方正仿宋简体"/>
          <w:sz w:val="32"/>
          <w:szCs w:val="32"/>
          <w:lang w:eastAsia="zh-CN"/>
        </w:rPr>
      </w:pPr>
      <w:r>
        <w:rPr>
          <w:rFonts w:hint="eastAsia" w:ascii="楷体" w:hAnsi="楷体" w:eastAsia="楷体" w:cs="楷体"/>
          <w:sz w:val="32"/>
          <w:szCs w:val="32"/>
        </w:rPr>
        <w:t>（一）</w:t>
      </w:r>
      <w:r>
        <w:rPr>
          <w:rFonts w:hint="eastAsia" w:ascii="楷体" w:hAnsi="楷体" w:eastAsia="楷体" w:cs="楷体"/>
          <w:sz w:val="32"/>
          <w:szCs w:val="32"/>
          <w:lang w:eastAsia="zh-CN"/>
        </w:rPr>
        <w:t>凝聚思想共识</w:t>
      </w:r>
      <w:r>
        <w:rPr>
          <w:rFonts w:hint="eastAsia" w:ascii="楷体" w:hAnsi="楷体" w:eastAsia="楷体" w:cs="楷体"/>
          <w:sz w:val="32"/>
          <w:szCs w:val="32"/>
        </w:rPr>
        <w:t>，</w:t>
      </w:r>
      <w:r>
        <w:rPr>
          <w:rFonts w:hint="eastAsia" w:ascii="楷体" w:hAnsi="楷体" w:eastAsia="楷体" w:cs="楷体"/>
          <w:sz w:val="32"/>
          <w:szCs w:val="32"/>
          <w:lang w:eastAsia="zh-CN"/>
        </w:rPr>
        <w:t>强化协同共治</w:t>
      </w:r>
      <w:r>
        <w:rPr>
          <w:rFonts w:hint="eastAsia" w:ascii="楷体" w:hAnsi="楷体" w:eastAsia="楷体" w:cs="楷体"/>
          <w:sz w:val="32"/>
          <w:szCs w:val="32"/>
        </w:rPr>
        <w:t>。</w:t>
      </w:r>
      <w:r>
        <w:rPr>
          <w:rFonts w:hint="eastAsia" w:ascii="方正仿宋简体" w:hAnsi="方正仿宋简体" w:eastAsia="方正仿宋简体" w:cs="方正仿宋简体"/>
          <w:sz w:val="32"/>
          <w:szCs w:val="32"/>
          <w:lang w:eastAsia="zh-CN"/>
        </w:rPr>
        <w:t>进一步</w:t>
      </w:r>
      <w:r>
        <w:rPr>
          <w:rFonts w:ascii="方正仿宋简体" w:eastAsia="方正仿宋简体"/>
          <w:sz w:val="32"/>
          <w:szCs w:val="32"/>
        </w:rPr>
        <w:t>加大</w:t>
      </w:r>
      <w:r>
        <w:rPr>
          <w:rFonts w:hint="eastAsia" w:ascii="方正仿宋简体" w:eastAsia="方正仿宋简体"/>
          <w:sz w:val="32"/>
          <w:szCs w:val="32"/>
        </w:rPr>
        <w:t>培训</w:t>
      </w:r>
      <w:r>
        <w:rPr>
          <w:rFonts w:ascii="方正仿宋简体" w:eastAsia="方正仿宋简体"/>
          <w:sz w:val="32"/>
          <w:szCs w:val="32"/>
        </w:rPr>
        <w:t>和指导力度，</w:t>
      </w:r>
      <w:r>
        <w:rPr>
          <w:rFonts w:hint="eastAsia" w:ascii="方正仿宋简体" w:eastAsia="方正仿宋简体"/>
          <w:sz w:val="32"/>
          <w:szCs w:val="32"/>
          <w:lang w:eastAsia="zh-CN"/>
        </w:rPr>
        <w:t>全面压实各预算部门</w:t>
      </w:r>
      <w:r>
        <w:rPr>
          <w:rFonts w:ascii="方正仿宋简体" w:eastAsia="方正仿宋简体"/>
          <w:sz w:val="32"/>
          <w:szCs w:val="32"/>
        </w:rPr>
        <w:t>绩效管理主体责任，</w:t>
      </w:r>
      <w:r>
        <w:rPr>
          <w:rFonts w:hint="eastAsia" w:ascii="方正仿宋简体" w:eastAsia="方正仿宋简体"/>
          <w:sz w:val="32"/>
          <w:szCs w:val="32"/>
          <w:lang w:eastAsia="zh-CN"/>
        </w:rPr>
        <w:t>推动绩效管理理念深入人心，</w:t>
      </w:r>
      <w:r>
        <w:rPr>
          <w:rFonts w:hint="eastAsia" w:ascii="方正仿宋简体" w:eastAsia="方正仿宋简体"/>
          <w:sz w:val="32"/>
          <w:szCs w:val="32"/>
        </w:rPr>
        <w:t>实现从“</w:t>
      </w:r>
      <w:r>
        <w:rPr>
          <w:rFonts w:hint="eastAsia" w:ascii="方正仿宋简体" w:eastAsia="方正仿宋简体"/>
          <w:sz w:val="32"/>
          <w:szCs w:val="32"/>
          <w:lang w:eastAsia="zh-CN"/>
        </w:rPr>
        <w:t>被动合规</w:t>
      </w:r>
      <w:r>
        <w:rPr>
          <w:rFonts w:hint="eastAsia" w:ascii="方正仿宋简体" w:eastAsia="方正仿宋简体"/>
          <w:sz w:val="32"/>
          <w:szCs w:val="32"/>
        </w:rPr>
        <w:t>”</w:t>
      </w:r>
      <w:r>
        <w:rPr>
          <w:rFonts w:hint="eastAsia" w:ascii="方正仿宋简体" w:eastAsia="方正仿宋简体"/>
          <w:sz w:val="32"/>
          <w:szCs w:val="32"/>
          <w:lang w:eastAsia="zh-CN"/>
        </w:rPr>
        <w:t>到</w:t>
      </w:r>
      <w:r>
        <w:rPr>
          <w:rFonts w:hint="eastAsia" w:ascii="方正仿宋简体" w:eastAsia="方正仿宋简体"/>
          <w:sz w:val="32"/>
          <w:szCs w:val="32"/>
        </w:rPr>
        <w:t>“</w:t>
      </w:r>
      <w:r>
        <w:rPr>
          <w:rFonts w:hint="eastAsia" w:ascii="方正仿宋简体" w:eastAsia="方正仿宋简体"/>
          <w:sz w:val="32"/>
          <w:szCs w:val="32"/>
          <w:lang w:eastAsia="zh-CN"/>
        </w:rPr>
        <w:t>主动提升</w:t>
      </w:r>
      <w:r>
        <w:rPr>
          <w:rFonts w:hint="eastAsia" w:ascii="方正仿宋简体" w:eastAsia="方正仿宋简体"/>
          <w:sz w:val="32"/>
          <w:szCs w:val="32"/>
        </w:rPr>
        <w:t>”的</w:t>
      </w:r>
      <w:r>
        <w:rPr>
          <w:rFonts w:hint="eastAsia" w:ascii="方正仿宋简体" w:eastAsia="方正仿宋简体"/>
          <w:sz w:val="32"/>
          <w:szCs w:val="32"/>
          <w:lang w:eastAsia="zh-CN"/>
        </w:rPr>
        <w:t>根本性</w:t>
      </w:r>
      <w:r>
        <w:rPr>
          <w:rFonts w:hint="eastAsia" w:ascii="方正仿宋简体" w:eastAsia="方正仿宋简体"/>
          <w:sz w:val="32"/>
          <w:szCs w:val="32"/>
        </w:rPr>
        <w:t>转变，</w:t>
      </w:r>
      <w:r>
        <w:rPr>
          <w:rFonts w:hint="eastAsia" w:ascii="方正仿宋简体" w:eastAsia="方正仿宋简体"/>
          <w:sz w:val="32"/>
          <w:szCs w:val="32"/>
          <w:lang w:eastAsia="zh-CN"/>
        </w:rPr>
        <w:t>构建全市上下联动、部门协同发力的绩效管理新局面，凝聚起全面实施预算绩效管理的强大合力。</w:t>
      </w:r>
    </w:p>
    <w:p>
      <w:pPr>
        <w:spacing w:line="592" w:lineRule="exact"/>
        <w:ind w:firstLine="640" w:firstLineChars="200"/>
        <w:textAlignment w:val="center"/>
        <w:rPr>
          <w:rFonts w:hint="eastAsia" w:ascii="方正仿宋简体" w:eastAsia="方正仿宋简体"/>
          <w:sz w:val="32"/>
          <w:szCs w:val="32"/>
        </w:rPr>
      </w:pPr>
      <w:r>
        <w:rPr>
          <w:rFonts w:hint="eastAsia" w:ascii="楷体" w:hAnsi="楷体" w:eastAsia="楷体" w:cs="楷体"/>
          <w:sz w:val="32"/>
          <w:szCs w:val="32"/>
        </w:rPr>
        <w:t>（二）</w:t>
      </w:r>
      <w:r>
        <w:rPr>
          <w:rFonts w:hint="eastAsia" w:ascii="楷体" w:hAnsi="楷体" w:eastAsia="楷体" w:cs="楷体"/>
          <w:sz w:val="32"/>
          <w:szCs w:val="32"/>
          <w:lang w:eastAsia="zh-CN"/>
        </w:rPr>
        <w:t>筑牢</w:t>
      </w:r>
      <w:r>
        <w:rPr>
          <w:rFonts w:hint="eastAsia" w:ascii="楷体" w:hAnsi="楷体" w:eastAsia="楷体" w:cs="楷体"/>
          <w:sz w:val="32"/>
          <w:szCs w:val="32"/>
        </w:rPr>
        <w:t>管理</w:t>
      </w:r>
      <w:r>
        <w:rPr>
          <w:rFonts w:hint="eastAsia" w:ascii="楷体" w:hAnsi="楷体" w:eastAsia="楷体" w:cs="楷体"/>
          <w:sz w:val="32"/>
          <w:szCs w:val="32"/>
          <w:lang w:eastAsia="zh-CN"/>
        </w:rPr>
        <w:t>根基</w:t>
      </w:r>
      <w:r>
        <w:rPr>
          <w:rFonts w:hint="eastAsia" w:ascii="楷体" w:hAnsi="楷体" w:eastAsia="楷体" w:cs="楷体"/>
          <w:sz w:val="32"/>
          <w:szCs w:val="32"/>
        </w:rPr>
        <w:t>，</w:t>
      </w:r>
      <w:r>
        <w:rPr>
          <w:rFonts w:hint="eastAsia" w:ascii="楷体" w:hAnsi="楷体" w:eastAsia="楷体" w:cs="楷体"/>
          <w:sz w:val="32"/>
          <w:szCs w:val="32"/>
          <w:lang w:eastAsia="zh-CN"/>
        </w:rPr>
        <w:t>健全</w:t>
      </w:r>
      <w:r>
        <w:rPr>
          <w:rFonts w:hint="eastAsia" w:ascii="楷体" w:hAnsi="楷体" w:eastAsia="楷体" w:cs="楷体"/>
          <w:sz w:val="32"/>
          <w:szCs w:val="32"/>
        </w:rPr>
        <w:t>标准体系。</w:t>
      </w:r>
      <w:r>
        <w:rPr>
          <w:rFonts w:hint="eastAsia" w:ascii="方正仿宋简体" w:hAnsi="方正仿宋简体" w:eastAsia="方正仿宋简体" w:cs="方正仿宋简体"/>
          <w:sz w:val="32"/>
          <w:szCs w:val="32"/>
          <w:lang w:eastAsia="zh-CN"/>
        </w:rPr>
        <w:t>加快构建覆盖主要行业、重点领域的共性绩效指标与标准值体系。持续深化涵盖事前评估、目标设定、运行监控、绩效评价的全过程管理链条。推动绩效运行监控常态化、制度化，高质量组织实施年度重点支出绩效评价，不断夯实绩效管理的技术基础</w:t>
      </w:r>
      <w:r>
        <w:rPr>
          <w:rFonts w:hint="eastAsia" w:ascii="方正仿宋简体" w:eastAsia="方正仿宋简体"/>
          <w:sz w:val="32"/>
          <w:szCs w:val="32"/>
        </w:rPr>
        <w:t>。</w:t>
      </w:r>
    </w:p>
    <w:p>
      <w:pPr>
        <w:spacing w:line="592" w:lineRule="exact"/>
        <w:ind w:firstLine="640" w:firstLineChars="200"/>
        <w:textAlignment w:val="center"/>
        <w:rPr>
          <w:rFonts w:hint="eastAsia" w:ascii="方正仿宋简体" w:eastAsia="方正仿宋简体"/>
          <w:sz w:val="32"/>
          <w:szCs w:val="32"/>
        </w:rPr>
      </w:pPr>
      <w:r>
        <w:rPr>
          <w:rFonts w:hint="eastAsia" w:ascii="楷体" w:hAnsi="楷体" w:eastAsia="楷体" w:cs="楷体"/>
          <w:sz w:val="32"/>
          <w:szCs w:val="32"/>
        </w:rPr>
        <w:t>（三）</w:t>
      </w:r>
      <w:r>
        <w:rPr>
          <w:rFonts w:hint="eastAsia" w:ascii="楷体" w:hAnsi="楷体" w:eastAsia="楷体" w:cs="楷体"/>
          <w:sz w:val="32"/>
          <w:szCs w:val="32"/>
          <w:lang w:eastAsia="zh-CN"/>
        </w:rPr>
        <w:t>坚持绩效引领</w:t>
      </w:r>
      <w:r>
        <w:rPr>
          <w:rFonts w:hint="eastAsia" w:ascii="楷体" w:hAnsi="楷体" w:eastAsia="楷体" w:cs="楷体"/>
          <w:sz w:val="32"/>
          <w:szCs w:val="32"/>
        </w:rPr>
        <w:t>，</w:t>
      </w:r>
      <w:r>
        <w:rPr>
          <w:rFonts w:hint="eastAsia" w:ascii="楷体" w:hAnsi="楷体" w:eastAsia="楷体" w:cs="楷体"/>
          <w:sz w:val="32"/>
          <w:szCs w:val="32"/>
          <w:lang w:eastAsia="zh-CN"/>
        </w:rPr>
        <w:t>深化预算改革</w:t>
      </w:r>
      <w:r>
        <w:rPr>
          <w:rFonts w:hint="eastAsia" w:ascii="楷体" w:hAnsi="楷体" w:eastAsia="楷体" w:cs="楷体"/>
          <w:sz w:val="32"/>
          <w:szCs w:val="32"/>
        </w:rPr>
        <w:t>。</w:t>
      </w:r>
      <w:r>
        <w:rPr>
          <w:rFonts w:hint="eastAsia" w:ascii="方正仿宋简体" w:hAnsi="方正仿宋简体" w:eastAsia="方正仿宋简体" w:cs="方正仿宋简体"/>
          <w:sz w:val="32"/>
          <w:szCs w:val="32"/>
          <w:lang w:eastAsia="zh-CN"/>
        </w:rPr>
        <w:t>牢固树立“零基预算”理念，将绩效管理深度嵌入预算编制、执行、监督全过程。持续强化绩效目标源头管理，推动事前绩效评估、绩效目标审核与预算审核的有机融合与同步开展。充分发挥绩效评价的“指挥棒”与“紧箍咒”作用，切实做到“以评促管、以评促效”</w:t>
      </w:r>
      <w:r>
        <w:rPr>
          <w:rFonts w:hint="eastAsia" w:ascii="方正仿宋简体" w:eastAsia="方正仿宋简体"/>
          <w:sz w:val="32"/>
          <w:szCs w:val="32"/>
        </w:rPr>
        <w:t>。</w:t>
      </w:r>
    </w:p>
    <w:p>
      <w:pPr>
        <w:spacing w:line="592" w:lineRule="exact"/>
        <w:ind w:firstLine="640" w:firstLineChars="200"/>
        <w:textAlignment w:val="center"/>
        <w:rPr>
          <w:rFonts w:hint="eastAsia" w:ascii="方正仿宋简体" w:hAnsi="方正仿宋简体" w:eastAsia="方正仿宋简体" w:cs="方正仿宋简体"/>
          <w:sz w:val="32"/>
          <w:szCs w:val="32"/>
        </w:rPr>
      </w:pPr>
      <w:r>
        <w:rPr>
          <w:rFonts w:hint="eastAsia" w:ascii="楷体" w:hAnsi="楷体" w:eastAsia="楷体" w:cs="楷体"/>
          <w:sz w:val="32"/>
          <w:szCs w:val="32"/>
        </w:rPr>
        <w:t>（四）拓展评价维度，</w:t>
      </w:r>
      <w:r>
        <w:rPr>
          <w:rFonts w:hint="eastAsia" w:ascii="楷体" w:hAnsi="楷体" w:eastAsia="楷体" w:cs="楷体"/>
          <w:sz w:val="32"/>
          <w:szCs w:val="32"/>
          <w:lang w:eastAsia="zh-CN"/>
        </w:rPr>
        <w:t>硬</w:t>
      </w:r>
      <w:r>
        <w:rPr>
          <w:rFonts w:hint="eastAsia" w:ascii="楷体" w:hAnsi="楷体" w:eastAsia="楷体" w:cs="楷体"/>
          <w:sz w:val="32"/>
          <w:szCs w:val="32"/>
        </w:rPr>
        <w:t>化结果应用。</w:t>
      </w:r>
      <w:r>
        <w:rPr>
          <w:rFonts w:hint="eastAsia" w:ascii="方正仿宋简体" w:hAnsi="方正仿宋简体" w:eastAsia="方正仿宋简体" w:cs="方正仿宋简体"/>
          <w:sz w:val="32"/>
          <w:szCs w:val="32"/>
          <w:lang w:eastAsia="zh-CN"/>
        </w:rPr>
        <w:t>有序</w:t>
      </w:r>
      <w:r>
        <w:rPr>
          <w:rFonts w:hint="eastAsia" w:ascii="方正仿宋简体" w:hAnsi="方正仿宋简体" w:eastAsia="方正仿宋简体" w:cs="方正仿宋简体"/>
          <w:sz w:val="32"/>
          <w:szCs w:val="32"/>
        </w:rPr>
        <w:t>扩大部门整体支出绩效评价和</w:t>
      </w:r>
      <w:r>
        <w:rPr>
          <w:rFonts w:hint="eastAsia" w:ascii="方正仿宋简体" w:hAnsi="方正仿宋简体" w:eastAsia="方正仿宋简体" w:cs="方正仿宋简体"/>
          <w:sz w:val="32"/>
          <w:szCs w:val="32"/>
          <w:lang w:eastAsia="zh-CN"/>
        </w:rPr>
        <w:t>政策综合评价覆盖面</w:t>
      </w:r>
      <w:r>
        <w:rPr>
          <w:rFonts w:hint="eastAsia" w:ascii="方正仿宋简体" w:hAnsi="方正仿宋简体" w:eastAsia="方正仿宋简体" w:cs="方正仿宋简体"/>
          <w:sz w:val="32"/>
          <w:szCs w:val="32"/>
        </w:rPr>
        <w:t>，探索开展成本预算绩效分析，研究制定绩效评价结果与预算安排挂钩的实施细则，</w:t>
      </w:r>
      <w:r>
        <w:rPr>
          <w:rFonts w:hint="eastAsia" w:ascii="方正仿宋简体" w:hAnsi="方正仿宋简体" w:eastAsia="方正仿宋简体" w:cs="方正仿宋简体"/>
          <w:sz w:val="32"/>
          <w:szCs w:val="32"/>
          <w:lang w:eastAsia="zh-CN"/>
        </w:rPr>
        <w:t>推动绩效管理成果切实转化为提升治理效能、优化财政支出结构的具体举措</w:t>
      </w:r>
      <w:r>
        <w:rPr>
          <w:rFonts w:hint="eastAsia" w:ascii="方正仿宋简体" w:hAnsi="方正仿宋简体" w:eastAsia="方正仿宋简体" w:cs="方正仿宋简体"/>
          <w:sz w:val="32"/>
          <w:szCs w:val="32"/>
        </w:rPr>
        <w:t>。</w:t>
      </w:r>
    </w:p>
    <w:p>
      <w:pPr>
        <w:spacing w:line="592" w:lineRule="exact"/>
        <w:ind w:firstLine="640" w:firstLineChars="200"/>
        <w:textAlignment w:val="center"/>
        <w:rPr>
          <w:rFonts w:hint="eastAsia" w:ascii="方正仿宋简体" w:hAnsi="方正仿宋简体" w:eastAsia="方正仿宋简体" w:cs="方正仿宋简体"/>
          <w:sz w:val="32"/>
          <w:szCs w:val="32"/>
        </w:rPr>
      </w:pPr>
      <w:r>
        <w:rPr>
          <w:rFonts w:hint="eastAsia" w:ascii="楷体" w:hAnsi="楷体" w:eastAsia="楷体" w:cs="楷体"/>
          <w:sz w:val="32"/>
          <w:szCs w:val="32"/>
        </w:rPr>
        <w:t>（五）加强监督指导，</w:t>
      </w:r>
      <w:r>
        <w:rPr>
          <w:rFonts w:hint="eastAsia" w:ascii="楷体" w:hAnsi="楷体" w:eastAsia="楷体" w:cs="楷体"/>
          <w:sz w:val="32"/>
          <w:szCs w:val="32"/>
          <w:lang w:eastAsia="zh-CN"/>
        </w:rPr>
        <w:t>推动全域</w:t>
      </w:r>
      <w:r>
        <w:rPr>
          <w:rFonts w:hint="eastAsia" w:ascii="楷体" w:hAnsi="楷体" w:eastAsia="楷体" w:cs="楷体"/>
          <w:sz w:val="32"/>
          <w:szCs w:val="32"/>
        </w:rPr>
        <w:t>提升。</w:t>
      </w:r>
      <w:r>
        <w:rPr>
          <w:rFonts w:hint="eastAsia" w:ascii="方正仿宋简体" w:hAnsi="方正仿宋简体" w:eastAsia="方正仿宋简体" w:cs="方正仿宋简体"/>
          <w:sz w:val="32"/>
          <w:szCs w:val="32"/>
          <w:lang w:eastAsia="zh-CN"/>
        </w:rPr>
        <w:t>建立健全对县（区）及基层预算单位的常态化业务指导、监督检查与考核评价机制。坚持问题导向与目标导向相结合，以点带面、示范引领，促进全市预算绩效管理水平整体跃升，确保全面实施预算绩效管理各项要求落到实处、取得实效。</w:t>
      </w:r>
    </w:p>
    <w:p>
      <w:pPr>
        <w:spacing w:line="592" w:lineRule="exact"/>
        <w:ind w:firstLine="640" w:firstLineChars="200"/>
        <w:rPr>
          <w:rFonts w:hint="eastAsia" w:ascii="方正仿宋简体" w:eastAsia="方正仿宋简体"/>
          <w:bCs/>
          <w:sz w:val="32"/>
          <w:szCs w:val="32"/>
        </w:rPr>
      </w:pPr>
    </w:p>
    <w:p>
      <w:pPr>
        <w:spacing w:line="592" w:lineRule="exact"/>
        <w:jc w:val="both"/>
        <w:textAlignment w:val="center"/>
        <w:rPr>
          <w:rFonts w:ascii="方正仿宋简体" w:eastAsia="方正仿宋简体"/>
          <w:sz w:val="32"/>
          <w:szCs w:val="32"/>
        </w:rPr>
      </w:pPr>
    </w:p>
    <w:sectPr>
      <w:footerReference r:id="rId3" w:type="default"/>
      <w:pgSz w:w="11906" w:h="16838"/>
      <w:pgMar w:top="1956" w:right="1474" w:bottom="1843" w:left="1587" w:header="851"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ind w:left="210" w:leftChars="100" w:right="210" w:rightChars="1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ind w:left="210" w:leftChars="100" w:right="210" w:rightChars="1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C19"/>
    <w:rsid w:val="00002A1D"/>
    <w:rsid w:val="0001293D"/>
    <w:rsid w:val="0005319B"/>
    <w:rsid w:val="0005598D"/>
    <w:rsid w:val="000A18E5"/>
    <w:rsid w:val="00104A64"/>
    <w:rsid w:val="00125680"/>
    <w:rsid w:val="001776B2"/>
    <w:rsid w:val="00187050"/>
    <w:rsid w:val="001C4897"/>
    <w:rsid w:val="00211D90"/>
    <w:rsid w:val="00250FC5"/>
    <w:rsid w:val="002C1257"/>
    <w:rsid w:val="00323B45"/>
    <w:rsid w:val="003353EA"/>
    <w:rsid w:val="00380D82"/>
    <w:rsid w:val="00393052"/>
    <w:rsid w:val="003F3852"/>
    <w:rsid w:val="004010DD"/>
    <w:rsid w:val="004108CB"/>
    <w:rsid w:val="00455F2C"/>
    <w:rsid w:val="004653AC"/>
    <w:rsid w:val="0047000E"/>
    <w:rsid w:val="004B33A5"/>
    <w:rsid w:val="004B46AF"/>
    <w:rsid w:val="004F7AC3"/>
    <w:rsid w:val="00520B2A"/>
    <w:rsid w:val="005D73A8"/>
    <w:rsid w:val="00624D92"/>
    <w:rsid w:val="00633B9A"/>
    <w:rsid w:val="00656C19"/>
    <w:rsid w:val="006E2F43"/>
    <w:rsid w:val="007005B6"/>
    <w:rsid w:val="00734AC6"/>
    <w:rsid w:val="00810AB7"/>
    <w:rsid w:val="008252BB"/>
    <w:rsid w:val="00850D7E"/>
    <w:rsid w:val="00870F43"/>
    <w:rsid w:val="00886C45"/>
    <w:rsid w:val="008C1F76"/>
    <w:rsid w:val="008C6BC6"/>
    <w:rsid w:val="0090717C"/>
    <w:rsid w:val="00980BF1"/>
    <w:rsid w:val="009970F9"/>
    <w:rsid w:val="00A21047"/>
    <w:rsid w:val="00B15CEB"/>
    <w:rsid w:val="00B31CD3"/>
    <w:rsid w:val="00B624B9"/>
    <w:rsid w:val="00B96888"/>
    <w:rsid w:val="00CB5365"/>
    <w:rsid w:val="00CF3103"/>
    <w:rsid w:val="00D613D5"/>
    <w:rsid w:val="00D6373B"/>
    <w:rsid w:val="00D83016"/>
    <w:rsid w:val="00D919C5"/>
    <w:rsid w:val="00D95ABC"/>
    <w:rsid w:val="00E53B24"/>
    <w:rsid w:val="00EC3400"/>
    <w:rsid w:val="00F269E7"/>
    <w:rsid w:val="00F26F7D"/>
    <w:rsid w:val="00F94A38"/>
    <w:rsid w:val="00F95F8D"/>
    <w:rsid w:val="00FD0CED"/>
    <w:rsid w:val="00FF29AB"/>
    <w:rsid w:val="01962138"/>
    <w:rsid w:val="04A761D6"/>
    <w:rsid w:val="0A7A56CB"/>
    <w:rsid w:val="0CBC1F63"/>
    <w:rsid w:val="0D5A0441"/>
    <w:rsid w:val="15C9672A"/>
    <w:rsid w:val="19BB584F"/>
    <w:rsid w:val="1C745AA8"/>
    <w:rsid w:val="1CA818AA"/>
    <w:rsid w:val="2BBC0F0A"/>
    <w:rsid w:val="2D7E1F3D"/>
    <w:rsid w:val="3B380CAF"/>
    <w:rsid w:val="3B852A40"/>
    <w:rsid w:val="45E53A24"/>
    <w:rsid w:val="491618F5"/>
    <w:rsid w:val="4A2A61E1"/>
    <w:rsid w:val="52985D61"/>
    <w:rsid w:val="5E0D2FB2"/>
    <w:rsid w:val="5FE57F1B"/>
    <w:rsid w:val="60FC2796"/>
    <w:rsid w:val="6ACC2E43"/>
    <w:rsid w:val="6E33173C"/>
    <w:rsid w:val="734113E4"/>
    <w:rsid w:val="74990806"/>
    <w:rsid w:val="76AF4AF0"/>
    <w:rsid w:val="7AFB2F98"/>
    <w:rsid w:val="7DCD5549"/>
    <w:rsid w:val="7FA80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List Paragraph"/>
    <w:basedOn w:val="1"/>
    <w:qFormat/>
    <w:uiPriority w:val="34"/>
    <w:pPr>
      <w:ind w:firstLine="420" w:firstLineChars="200"/>
    </w:pPr>
  </w:style>
  <w:style w:type="character" w:customStyle="1" w:styleId="8">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660</Words>
  <Characters>3767</Characters>
  <Lines>31</Lines>
  <Paragraphs>8</Paragraphs>
  <TotalTime>10</TotalTime>
  <ScaleCrop>false</ScaleCrop>
  <LinksUpToDate>false</LinksUpToDate>
  <CharactersWithSpaces>4419</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2025-12-27T09:39:00Z</dcterms:created>
  <dc:creator>信息中心</dc:creator>
  <cp:lastModifiedBy>Administrator</cp:lastModifiedBy>
  <cp:lastPrinted>2026-01-01T11:04:00Z</cp:lastPrinted>
  <dcterms:modified xsi:type="dcterms:W3CDTF">2026-07-07T02:48:16Z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