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sz w:val="44"/>
          <w:szCs w:val="44"/>
        </w:rPr>
      </w:pPr>
    </w:p>
    <w:p>
      <w:pPr>
        <w:spacing w:line="600" w:lineRule="exact"/>
        <w:jc w:val="center"/>
        <w:rPr>
          <w:sz w:val="44"/>
          <w:szCs w:val="44"/>
        </w:rPr>
      </w:pPr>
    </w:p>
    <w:p>
      <w:pPr>
        <w:spacing w:line="600" w:lineRule="exact"/>
        <w:jc w:val="center"/>
        <w:rPr>
          <w:rFonts w:ascii="黑体" w:eastAsia="黑体"/>
          <w:b/>
          <w:sz w:val="52"/>
          <w:szCs w:val="52"/>
        </w:rPr>
      </w:pPr>
    </w:p>
    <w:p>
      <w:pPr>
        <w:spacing w:line="600" w:lineRule="exact"/>
        <w:rPr>
          <w:rFonts w:ascii="黑体" w:eastAsia="黑体"/>
          <w:b/>
          <w:sz w:val="52"/>
          <w:szCs w:val="52"/>
        </w:rPr>
      </w:pPr>
      <w:r>
        <w:rPr>
          <w:rFonts w:hint="eastAsia" w:ascii="黑体" w:eastAsia="黑体"/>
          <w:b/>
          <w:sz w:val="52"/>
          <w:szCs w:val="52"/>
        </w:rPr>
        <w:t>那曲市第三小学2025年度部门决算</w:t>
      </w:r>
    </w:p>
    <w:p>
      <w:pPr>
        <w:spacing w:line="600" w:lineRule="exact"/>
        <w:rPr>
          <w:sz w:val="44"/>
          <w:szCs w:val="44"/>
        </w:rPr>
      </w:pPr>
    </w:p>
    <w:p>
      <w:pPr>
        <w:spacing w:line="600" w:lineRule="exact"/>
        <w:rPr>
          <w:sz w:val="44"/>
          <w:szCs w:val="44"/>
        </w:rPr>
      </w:pPr>
    </w:p>
    <w:p>
      <w:pPr>
        <w:spacing w:line="600" w:lineRule="exact"/>
        <w:rPr>
          <w:sz w:val="44"/>
          <w:szCs w:val="44"/>
        </w:rPr>
      </w:pPr>
    </w:p>
    <w:p>
      <w:pPr>
        <w:spacing w:line="600" w:lineRule="exact"/>
        <w:rPr>
          <w:sz w:val="44"/>
          <w:szCs w:val="44"/>
        </w:rPr>
      </w:pPr>
    </w:p>
    <w:p>
      <w:pPr>
        <w:spacing w:line="600" w:lineRule="exact"/>
        <w:rPr>
          <w:sz w:val="44"/>
          <w:szCs w:val="44"/>
        </w:rPr>
      </w:pPr>
    </w:p>
    <w:p>
      <w:pPr>
        <w:spacing w:line="600" w:lineRule="exact"/>
        <w:rPr>
          <w:sz w:val="44"/>
          <w:szCs w:val="44"/>
        </w:rPr>
      </w:pPr>
    </w:p>
    <w:p>
      <w:pPr>
        <w:spacing w:line="600" w:lineRule="exact"/>
        <w:rPr>
          <w:sz w:val="44"/>
          <w:szCs w:val="44"/>
        </w:rPr>
      </w:pPr>
    </w:p>
    <w:p>
      <w:pPr>
        <w:spacing w:line="600" w:lineRule="exact"/>
        <w:rPr>
          <w:sz w:val="44"/>
          <w:szCs w:val="44"/>
        </w:rPr>
      </w:pPr>
    </w:p>
    <w:p>
      <w:pPr>
        <w:spacing w:line="600" w:lineRule="exact"/>
        <w:rPr>
          <w:sz w:val="44"/>
          <w:szCs w:val="44"/>
        </w:rPr>
      </w:pPr>
    </w:p>
    <w:p>
      <w:pPr>
        <w:spacing w:line="600" w:lineRule="exact"/>
        <w:rPr>
          <w:sz w:val="44"/>
          <w:szCs w:val="44"/>
        </w:rPr>
      </w:pPr>
    </w:p>
    <w:p>
      <w:pPr>
        <w:spacing w:line="600" w:lineRule="exact"/>
        <w:rPr>
          <w:sz w:val="44"/>
          <w:szCs w:val="44"/>
        </w:rPr>
      </w:pPr>
    </w:p>
    <w:p>
      <w:pPr>
        <w:spacing w:line="600" w:lineRule="exact"/>
        <w:rPr>
          <w:sz w:val="44"/>
          <w:szCs w:val="44"/>
        </w:rPr>
      </w:pPr>
    </w:p>
    <w:p>
      <w:pPr>
        <w:spacing w:line="600" w:lineRule="exact"/>
        <w:rPr>
          <w:sz w:val="44"/>
          <w:szCs w:val="44"/>
        </w:rPr>
      </w:pPr>
    </w:p>
    <w:p>
      <w:pPr>
        <w:spacing w:line="600" w:lineRule="exact"/>
        <w:jc w:val="center"/>
        <w:rPr>
          <w:rFonts w:ascii="宋体" w:hAnsi="宋体"/>
          <w:sz w:val="32"/>
          <w:szCs w:val="32"/>
          <w:u w:val="single"/>
        </w:rPr>
      </w:pPr>
    </w:p>
    <w:p>
      <w:pPr>
        <w:spacing w:line="600" w:lineRule="exact"/>
        <w:jc w:val="center"/>
        <w:rPr>
          <w:rFonts w:ascii="宋体" w:hAnsi="宋体"/>
          <w:sz w:val="32"/>
          <w:szCs w:val="32"/>
          <w:u w:val="single"/>
        </w:rPr>
      </w:pPr>
    </w:p>
    <w:p>
      <w:pPr>
        <w:spacing w:line="600" w:lineRule="exact"/>
        <w:jc w:val="center"/>
        <w:rPr>
          <w:rFonts w:ascii="宋体" w:hAnsi="宋体"/>
          <w:sz w:val="32"/>
          <w:szCs w:val="32"/>
          <w:u w:val="single"/>
        </w:rPr>
      </w:pPr>
    </w:p>
    <w:p>
      <w:pPr>
        <w:spacing w:line="600" w:lineRule="exact"/>
        <w:jc w:val="center"/>
        <w:rPr>
          <w:rFonts w:ascii="宋体" w:hAnsi="宋体"/>
          <w:sz w:val="32"/>
          <w:szCs w:val="32"/>
          <w:u w:val="single"/>
        </w:rPr>
      </w:pPr>
      <w:r>
        <w:rPr>
          <w:rFonts w:hint="eastAsia" w:ascii="宋体" w:hAnsi="宋体"/>
          <w:sz w:val="32"/>
          <w:szCs w:val="32"/>
          <w:u w:val="single"/>
        </w:rPr>
        <w:t xml:space="preserve"> </w:t>
      </w:r>
      <w:r>
        <w:rPr>
          <w:rFonts w:ascii="宋体" w:hAnsi="宋体"/>
          <w:sz w:val="32"/>
          <w:szCs w:val="32"/>
          <w:u w:val="single"/>
        </w:rPr>
        <w:t xml:space="preserve">   </w:t>
      </w:r>
      <w:r>
        <w:rPr>
          <w:rFonts w:hint="eastAsia" w:ascii="宋体" w:hAnsi="宋体"/>
          <w:sz w:val="32"/>
          <w:szCs w:val="32"/>
          <w:u w:val="single"/>
        </w:rPr>
        <w:t>2025</w:t>
      </w:r>
      <w:r>
        <w:rPr>
          <w:rFonts w:ascii="宋体" w:hAnsi="宋体"/>
          <w:sz w:val="32"/>
          <w:szCs w:val="32"/>
          <w:u w:val="single"/>
        </w:rPr>
        <w:t xml:space="preserve">  </w:t>
      </w:r>
      <w:r>
        <w:rPr>
          <w:rFonts w:hint="eastAsia" w:ascii="宋体" w:hAnsi="宋体"/>
          <w:sz w:val="32"/>
          <w:szCs w:val="32"/>
        </w:rPr>
        <w:t>年</w:t>
      </w:r>
      <w:r>
        <w:rPr>
          <w:rFonts w:hint="eastAsia" w:ascii="宋体" w:hAnsi="宋体"/>
          <w:sz w:val="32"/>
          <w:szCs w:val="32"/>
          <w:u w:val="single"/>
        </w:rPr>
        <w:t xml:space="preserve"> 7</w:t>
      </w:r>
      <w:r>
        <w:rPr>
          <w:rFonts w:hint="eastAsia" w:ascii="宋体" w:hAnsi="宋体"/>
          <w:sz w:val="32"/>
          <w:szCs w:val="32"/>
        </w:rPr>
        <w:t>月</w:t>
      </w:r>
      <w:r>
        <w:rPr>
          <w:rFonts w:hint="eastAsia" w:ascii="宋体" w:hAnsi="宋体"/>
          <w:sz w:val="32"/>
          <w:szCs w:val="32"/>
          <w:u w:val="single"/>
        </w:rPr>
        <w:t xml:space="preserve">   16日</w:t>
      </w:r>
    </w:p>
    <w:p>
      <w:pPr>
        <w:spacing w:line="600" w:lineRule="exact"/>
        <w:rPr>
          <w:sz w:val="44"/>
          <w:szCs w:val="44"/>
        </w:rPr>
      </w:pPr>
    </w:p>
    <w:p>
      <w:pPr>
        <w:spacing w:line="600" w:lineRule="exact"/>
        <w:rPr>
          <w:sz w:val="44"/>
          <w:szCs w:val="44"/>
        </w:rPr>
      </w:pPr>
    </w:p>
    <w:p>
      <w:pPr>
        <w:spacing w:line="600" w:lineRule="exact"/>
        <w:rPr>
          <w:sz w:val="44"/>
          <w:szCs w:val="44"/>
        </w:rPr>
      </w:pPr>
    </w:p>
    <w:p>
      <w:pPr>
        <w:spacing w:line="600" w:lineRule="exact"/>
        <w:ind w:firstLine="3213" w:firstLineChars="800"/>
        <w:rPr>
          <w:rFonts w:ascii="宋体" w:hAnsi="宋体"/>
          <w:b/>
          <w:sz w:val="40"/>
          <w:szCs w:val="40"/>
        </w:rPr>
      </w:pPr>
      <w:r>
        <w:rPr>
          <w:rFonts w:hint="eastAsia" w:ascii="宋体" w:hAnsi="宋体"/>
          <w:b/>
          <w:sz w:val="40"/>
          <w:szCs w:val="40"/>
        </w:rPr>
        <w:t>目  录</w:t>
      </w:r>
    </w:p>
    <w:p>
      <w:pPr>
        <w:spacing w:beforeLines="100" w:afterLines="100" w:line="560" w:lineRule="exact"/>
        <w:rPr>
          <w:rFonts w:ascii="黑体" w:hAnsi="宋体" w:eastAsia="黑体"/>
          <w:sz w:val="32"/>
          <w:szCs w:val="32"/>
        </w:rPr>
      </w:pPr>
      <w:r>
        <w:rPr>
          <w:rFonts w:hint="eastAsia" w:ascii="黑体" w:hAnsi="宋体" w:eastAsia="黑体"/>
          <w:sz w:val="32"/>
          <w:szCs w:val="32"/>
        </w:rPr>
        <w:t>第一部分  那曲市第三小学概况</w:t>
      </w:r>
    </w:p>
    <w:p>
      <w:pPr>
        <w:spacing w:beforeLines="100" w:afterLines="100"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一、部门决算单位构成</w:t>
      </w:r>
    </w:p>
    <w:p>
      <w:pPr>
        <w:spacing w:beforeLines="100" w:afterLines="100"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二、部门职责和机构设置</w:t>
      </w:r>
    </w:p>
    <w:p>
      <w:pPr>
        <w:spacing w:beforeLines="100" w:afterLines="100" w:line="560" w:lineRule="exact"/>
        <w:rPr>
          <w:rFonts w:ascii="仿宋_GB2312" w:hAnsi="宋体" w:eastAsia="仿宋_GB2312"/>
          <w:sz w:val="32"/>
          <w:szCs w:val="32"/>
        </w:rPr>
      </w:pPr>
      <w:r>
        <w:rPr>
          <w:rFonts w:hint="eastAsia" w:ascii="黑体" w:hAnsi="宋体" w:eastAsia="黑体"/>
          <w:sz w:val="32"/>
          <w:szCs w:val="32"/>
        </w:rPr>
        <w:t>第二部分  那曲市第三小学2025年度部门决算明细表</w:t>
      </w:r>
    </w:p>
    <w:p>
      <w:pPr>
        <w:spacing w:beforeLines="100" w:afterLines="100"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一、收支决算总表</w:t>
      </w:r>
    </w:p>
    <w:p>
      <w:pPr>
        <w:spacing w:beforeLines="100" w:afterLines="100"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二、收入决算总表</w:t>
      </w:r>
    </w:p>
    <w:p>
      <w:pPr>
        <w:spacing w:beforeLines="100" w:afterLines="100"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三、支出决算总表</w:t>
      </w:r>
    </w:p>
    <w:p>
      <w:pPr>
        <w:spacing w:beforeLines="100" w:afterLines="100"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四、财政拨款收支决算总表</w:t>
      </w:r>
    </w:p>
    <w:p>
      <w:pPr>
        <w:spacing w:beforeLines="100" w:afterLines="100"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五、一般公共预算财政拨款支出决算表</w:t>
      </w:r>
    </w:p>
    <w:p>
      <w:pPr>
        <w:spacing w:beforeLines="100" w:afterLines="100"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六、一般公共预算财政拨款基本支出决算表</w:t>
      </w:r>
    </w:p>
    <w:p>
      <w:pPr>
        <w:spacing w:beforeLines="100" w:afterLines="100"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七、一般公共预算相关经费支出决算表</w:t>
      </w:r>
    </w:p>
    <w:p>
      <w:pPr>
        <w:spacing w:beforeLines="100" w:afterLines="100"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八、 政府性基金预算财政拨款收支决算表</w:t>
      </w:r>
    </w:p>
    <w:p>
      <w:pPr>
        <w:spacing w:beforeLines="100" w:afterLines="100" w:line="560" w:lineRule="exact"/>
        <w:rPr>
          <w:rFonts w:ascii="黑体" w:hAnsi="宋体" w:eastAsia="黑体"/>
          <w:sz w:val="32"/>
          <w:szCs w:val="32"/>
        </w:rPr>
      </w:pPr>
      <w:r>
        <w:rPr>
          <w:rFonts w:hint="eastAsia" w:ascii="黑体" w:hAnsi="宋体" w:eastAsia="黑体"/>
          <w:sz w:val="32"/>
          <w:szCs w:val="32"/>
        </w:rPr>
        <w:t>第三部分  那曲市第三小学2025年度部门决算情况说明</w:t>
      </w:r>
    </w:p>
    <w:p>
      <w:pPr>
        <w:spacing w:beforeLines="100" w:afterLines="100" w:line="560" w:lineRule="exact"/>
        <w:rPr>
          <w:rFonts w:ascii="黑体" w:hAnsi="宋体" w:eastAsia="黑体"/>
          <w:sz w:val="32"/>
          <w:szCs w:val="32"/>
        </w:rPr>
      </w:pPr>
      <w:r>
        <w:rPr>
          <w:rFonts w:hint="eastAsia" w:ascii="黑体" w:hAnsi="宋体" w:eastAsia="黑体"/>
          <w:sz w:val="32"/>
          <w:szCs w:val="32"/>
        </w:rPr>
        <w:t>第四部分  名词解释</w:t>
      </w:r>
    </w:p>
    <w:p>
      <w:pPr>
        <w:adjustRightInd w:val="0"/>
        <w:snapToGrid w:val="0"/>
        <w:spacing w:line="600" w:lineRule="exact"/>
        <w:jc w:val="center"/>
        <w:rPr>
          <w:rFonts w:ascii="黑体" w:hAnsi="宋体" w:eastAsia="黑体"/>
          <w:sz w:val="48"/>
          <w:szCs w:val="48"/>
        </w:rPr>
      </w:pPr>
      <w:r>
        <w:rPr>
          <w:rFonts w:hint="eastAsia" w:ascii="黑体" w:hAnsi="宋体" w:eastAsia="黑体"/>
          <w:sz w:val="48"/>
          <w:szCs w:val="48"/>
        </w:rPr>
        <w:t xml:space="preserve">第一部分 </w:t>
      </w:r>
    </w:p>
    <w:p>
      <w:pPr>
        <w:adjustRightInd w:val="0"/>
        <w:snapToGrid w:val="0"/>
        <w:spacing w:line="600" w:lineRule="exact"/>
        <w:ind w:firstLine="1920" w:firstLineChars="400"/>
        <w:rPr>
          <w:rFonts w:ascii="黑体" w:hAnsi="宋体" w:eastAsia="黑体"/>
          <w:sz w:val="48"/>
          <w:szCs w:val="48"/>
        </w:rPr>
      </w:pPr>
      <w:r>
        <w:rPr>
          <w:rFonts w:hint="eastAsia" w:ascii="黑体" w:hAnsi="宋体" w:eastAsia="黑体"/>
          <w:sz w:val="48"/>
          <w:szCs w:val="48"/>
        </w:rPr>
        <w:t>那曲市第三小学概况</w:t>
      </w:r>
    </w:p>
    <w:p>
      <w:pPr>
        <w:spacing w:line="460" w:lineRule="exact"/>
        <w:ind w:firstLine="300" w:firstLineChars="100"/>
        <w:rPr>
          <w:rFonts w:ascii="黑体" w:hAnsi="黑体" w:eastAsia="黑体"/>
          <w:sz w:val="30"/>
          <w:szCs w:val="30"/>
        </w:rPr>
      </w:pPr>
      <w:r>
        <w:rPr>
          <w:rFonts w:hint="eastAsia" w:ascii="黑体" w:hAnsi="黑体" w:eastAsia="黑体"/>
          <w:sz w:val="30"/>
          <w:szCs w:val="30"/>
        </w:rPr>
        <w:t>第一步分那曲市第三小学概况</w:t>
      </w:r>
    </w:p>
    <w:p>
      <w:pPr>
        <w:spacing w:before="240"/>
        <w:ind w:firstLine="645"/>
        <w:rPr>
          <w:rFonts w:ascii="仿宋" w:hAnsi="仿宋" w:eastAsia="仿宋"/>
          <w:sz w:val="28"/>
          <w:szCs w:val="28"/>
        </w:rPr>
      </w:pPr>
      <w:r>
        <w:rPr>
          <w:rFonts w:hint="eastAsia" w:ascii="仿宋" w:hAnsi="仿宋" w:eastAsia="仿宋"/>
          <w:sz w:val="28"/>
          <w:szCs w:val="28"/>
        </w:rPr>
        <w:t>那曲市第三小学位于那曲县那曲镇罗布热地中路，平均海拔4500平米，学校创建于1994年5月9日，现有学校占地面积35870.27平方米，建筑面积20942.29平方，2024年总班级数为35个，学生1584人。全校教职工总共为136人，退休人员31人。</w:t>
      </w:r>
    </w:p>
    <w:p>
      <w:pPr>
        <w:spacing w:before="240"/>
        <w:rPr>
          <w:rFonts w:ascii="仿宋" w:hAnsi="仿宋" w:eastAsia="仿宋" w:cs="仿宋"/>
          <w:sz w:val="28"/>
          <w:szCs w:val="28"/>
        </w:rPr>
      </w:pPr>
      <w:r>
        <w:rPr>
          <w:rFonts w:hint="eastAsia" w:ascii="仿宋" w:hAnsi="仿宋" w:eastAsia="仿宋" w:cs="仿宋"/>
          <w:b/>
          <w:sz w:val="28"/>
          <w:szCs w:val="28"/>
        </w:rPr>
        <w:t>（一）</w:t>
      </w:r>
      <w:r>
        <w:rPr>
          <w:rFonts w:hint="eastAsia" w:ascii="仿宋" w:hAnsi="仿宋" w:eastAsia="仿宋" w:cs="仿宋"/>
          <w:b/>
          <w:bCs/>
          <w:sz w:val="28"/>
          <w:szCs w:val="28"/>
        </w:rPr>
        <w:t xml:space="preserve">、部门基本职能 </w:t>
      </w:r>
    </w:p>
    <w:p>
      <w:pPr>
        <w:numPr>
          <w:ilvl w:val="0"/>
          <w:numId w:val="1"/>
        </w:numPr>
        <w:spacing w:before="240"/>
        <w:ind w:firstLine="560" w:firstLineChars="200"/>
        <w:rPr>
          <w:rFonts w:ascii="仿宋" w:hAnsi="仿宋" w:eastAsia="仿宋" w:cs="仿宋"/>
          <w:sz w:val="28"/>
          <w:szCs w:val="28"/>
        </w:rPr>
      </w:pPr>
      <w:r>
        <w:rPr>
          <w:rFonts w:hint="eastAsia" w:ascii="仿宋" w:hAnsi="仿宋" w:eastAsia="仿宋" w:cs="仿宋"/>
          <w:sz w:val="28"/>
          <w:szCs w:val="28"/>
        </w:rPr>
        <w:t>全方面落实实施党和国家教育方针、政策、法规。坚持社会主义办学方向，努力培养德、智、体、美全面发展社会主义事业接班者和接班人。</w:t>
      </w:r>
    </w:p>
    <w:p>
      <w:pPr>
        <w:spacing w:before="240"/>
        <w:ind w:firstLine="280" w:firstLineChars="100"/>
        <w:rPr>
          <w:rFonts w:ascii="仿宋" w:hAnsi="仿宋" w:eastAsia="仿宋" w:cs="仿宋"/>
          <w:sz w:val="28"/>
          <w:szCs w:val="28"/>
        </w:rPr>
      </w:pPr>
      <w:r>
        <w:rPr>
          <w:rFonts w:hint="eastAsia" w:ascii="仿宋" w:hAnsi="仿宋" w:eastAsia="仿宋" w:cs="仿宋"/>
          <w:sz w:val="28"/>
          <w:szCs w:val="28"/>
        </w:rPr>
        <w:t>2、负责依法制定学校章程，并按教育规律办学，不停提升教育教学质量。</w:t>
      </w:r>
    </w:p>
    <w:p>
      <w:pPr>
        <w:spacing w:before="240"/>
        <w:ind w:firstLine="280" w:firstLineChars="100"/>
        <w:rPr>
          <w:rFonts w:ascii="仿宋" w:hAnsi="仿宋" w:eastAsia="仿宋" w:cs="仿宋"/>
          <w:sz w:val="28"/>
          <w:szCs w:val="28"/>
        </w:rPr>
      </w:pPr>
      <w:r>
        <w:rPr>
          <w:rFonts w:hint="eastAsia" w:ascii="仿宋" w:hAnsi="仿宋" w:eastAsia="仿宋" w:cs="仿宋"/>
          <w:sz w:val="28"/>
          <w:szCs w:val="28"/>
        </w:rPr>
        <w:t xml:space="preserve">3、负责制定学校教育发展规划，并抓好组织实施和落实工作   </w:t>
      </w:r>
    </w:p>
    <w:p>
      <w:pPr>
        <w:spacing w:before="240"/>
        <w:ind w:firstLine="140" w:firstLineChars="50"/>
        <w:rPr>
          <w:rFonts w:ascii="仿宋" w:hAnsi="仿宋" w:eastAsia="仿宋" w:cs="仿宋"/>
          <w:sz w:val="28"/>
          <w:szCs w:val="28"/>
        </w:rPr>
      </w:pPr>
      <w:r>
        <w:rPr>
          <w:rFonts w:hint="eastAsia" w:ascii="仿宋" w:hAnsi="仿宋" w:eastAsia="仿宋" w:cs="仿宋"/>
          <w:sz w:val="28"/>
          <w:szCs w:val="28"/>
        </w:rPr>
        <w:t xml:space="preserve"> 4、负责维护学校师生的合法权益，依法接受各级教育行政部门的检查指导和人民群众的监督。</w:t>
      </w:r>
    </w:p>
    <w:p>
      <w:pPr>
        <w:spacing w:line="460" w:lineRule="exact"/>
        <w:jc w:val="center"/>
        <w:rPr>
          <w:rFonts w:ascii="仿宋" w:hAnsi="仿宋" w:eastAsia="仿宋" w:cs="仿宋"/>
          <w:b/>
          <w:sz w:val="28"/>
          <w:szCs w:val="28"/>
        </w:rPr>
      </w:pPr>
    </w:p>
    <w:p>
      <w:pPr>
        <w:rPr>
          <w:rFonts w:ascii="仿宋" w:hAnsi="仿宋" w:eastAsia="仿宋" w:cs="仿宋"/>
          <w:b/>
          <w:sz w:val="28"/>
          <w:szCs w:val="28"/>
        </w:rPr>
      </w:pPr>
      <w:r>
        <w:rPr>
          <w:rFonts w:hint="eastAsia" w:ascii="仿宋" w:hAnsi="仿宋" w:eastAsia="仿宋" w:cs="仿宋"/>
          <w:b/>
          <w:sz w:val="28"/>
          <w:szCs w:val="28"/>
        </w:rPr>
        <w:t>（二）</w:t>
      </w:r>
      <w:r>
        <w:rPr>
          <w:rFonts w:hint="eastAsia" w:ascii="仿宋" w:hAnsi="仿宋" w:eastAsia="仿宋" w:cs="仿宋"/>
          <w:b/>
          <w:bCs/>
          <w:sz w:val="28"/>
          <w:szCs w:val="28"/>
        </w:rPr>
        <w:t>、</w:t>
      </w:r>
      <w:r>
        <w:rPr>
          <w:rFonts w:hint="eastAsia" w:ascii="仿宋" w:hAnsi="仿宋" w:eastAsia="仿宋" w:cs="仿宋"/>
          <w:b/>
          <w:sz w:val="28"/>
          <w:szCs w:val="28"/>
        </w:rPr>
        <w:t>部门机构设置情况</w:t>
      </w:r>
    </w:p>
    <w:p>
      <w:pPr>
        <w:rPr>
          <w:rFonts w:ascii="仿宋" w:hAnsi="仿宋" w:eastAsia="仿宋" w:cs="仿宋"/>
          <w:b/>
          <w:sz w:val="28"/>
          <w:szCs w:val="28"/>
        </w:rPr>
      </w:pPr>
      <w:r>
        <w:rPr>
          <w:rFonts w:hint="eastAsia" w:ascii="仿宋" w:hAnsi="仿宋" w:eastAsia="仿宋" w:cs="仿宋"/>
          <w:sz w:val="28"/>
          <w:szCs w:val="28"/>
        </w:rPr>
        <w:t>我单位全称那曲市第三小学，属于全额拨款事业单位，机构共有9个机构分别为、校办、校安办，教务处、少大队、总务处、教研室、电教室、党办、财务室。</w:t>
      </w:r>
    </w:p>
    <w:p>
      <w:pPr>
        <w:rPr>
          <w:rFonts w:ascii="仿宋" w:hAnsi="仿宋" w:eastAsia="仿宋" w:cs="仿宋"/>
          <w:b/>
          <w:sz w:val="28"/>
          <w:szCs w:val="28"/>
        </w:rPr>
      </w:pPr>
    </w:p>
    <w:p>
      <w:pPr>
        <w:rPr>
          <w:rFonts w:ascii="仿宋" w:hAnsi="仿宋" w:eastAsia="仿宋" w:cs="仿宋"/>
          <w:b/>
          <w:sz w:val="28"/>
          <w:szCs w:val="28"/>
        </w:rPr>
      </w:pPr>
    </w:p>
    <w:p>
      <w:pPr>
        <w:adjustRightInd w:val="0"/>
        <w:snapToGrid w:val="0"/>
        <w:spacing w:line="600" w:lineRule="exact"/>
        <w:jc w:val="center"/>
        <w:rPr>
          <w:rFonts w:ascii="黑体" w:hAnsi="宋体" w:eastAsia="黑体"/>
          <w:sz w:val="30"/>
          <w:szCs w:val="30"/>
        </w:rPr>
      </w:pPr>
    </w:p>
    <w:p>
      <w:pPr>
        <w:adjustRightInd w:val="0"/>
        <w:snapToGrid w:val="0"/>
        <w:spacing w:line="600" w:lineRule="exact"/>
        <w:jc w:val="center"/>
        <w:rPr>
          <w:rFonts w:ascii="黑体" w:hAnsi="宋体" w:eastAsia="黑体"/>
          <w:sz w:val="48"/>
          <w:szCs w:val="48"/>
        </w:rPr>
      </w:pPr>
      <w:r>
        <w:rPr>
          <w:rFonts w:hint="eastAsia" w:ascii="黑体" w:hAnsi="宋体" w:eastAsia="黑体"/>
          <w:sz w:val="48"/>
          <w:szCs w:val="48"/>
        </w:rPr>
        <w:t>第二部分</w:t>
      </w:r>
    </w:p>
    <w:p>
      <w:pPr>
        <w:adjustRightInd w:val="0"/>
        <w:snapToGrid w:val="0"/>
        <w:spacing w:line="600" w:lineRule="exact"/>
        <w:jc w:val="center"/>
        <w:rPr>
          <w:rFonts w:ascii="黑体" w:hAnsi="宋体" w:eastAsia="黑体"/>
          <w:sz w:val="48"/>
          <w:szCs w:val="48"/>
        </w:rPr>
      </w:pPr>
      <w:r>
        <w:rPr>
          <w:rFonts w:hint="eastAsia" w:ascii="黑体" w:hAnsi="宋体" w:eastAsia="黑体"/>
          <w:sz w:val="48"/>
          <w:szCs w:val="48"/>
        </w:rPr>
        <w:t>那曲市第三小学202</w:t>
      </w:r>
      <w:r>
        <w:rPr>
          <w:rFonts w:hint="eastAsia" w:ascii="黑体" w:hAnsi="宋体" w:eastAsia="黑体"/>
          <w:sz w:val="48"/>
          <w:szCs w:val="48"/>
          <w:lang w:val="en-US" w:eastAsia="zh-CN"/>
        </w:rPr>
        <w:t>5</w:t>
      </w:r>
      <w:r>
        <w:rPr>
          <w:rFonts w:hint="eastAsia" w:ascii="黑体" w:hAnsi="宋体" w:eastAsia="黑体"/>
          <w:sz w:val="48"/>
          <w:szCs w:val="48"/>
        </w:rPr>
        <w:t>年度决算明细表</w:t>
      </w:r>
    </w:p>
    <w:p>
      <w:pPr>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(详见附表1-9)</w:t>
      </w:r>
    </w:p>
    <w:p>
      <w:pPr>
        <w:adjustRightInd w:val="0"/>
        <w:snapToGrid w:val="0"/>
        <w:spacing w:line="600" w:lineRule="exact"/>
        <w:jc w:val="center"/>
        <w:rPr>
          <w:rFonts w:ascii="黑体" w:hAnsi="宋体" w:eastAsia="黑体"/>
          <w:sz w:val="48"/>
          <w:szCs w:val="48"/>
        </w:rPr>
      </w:pPr>
    </w:p>
    <w:p>
      <w:pPr>
        <w:adjustRightInd w:val="0"/>
        <w:snapToGrid w:val="0"/>
        <w:spacing w:line="600" w:lineRule="exact"/>
        <w:jc w:val="center"/>
        <w:rPr>
          <w:rFonts w:ascii="黑体" w:hAnsi="宋体" w:eastAsia="黑体"/>
          <w:sz w:val="48"/>
          <w:szCs w:val="48"/>
        </w:rPr>
      </w:pPr>
    </w:p>
    <w:p>
      <w:pPr>
        <w:adjustRightInd w:val="0"/>
        <w:snapToGrid w:val="0"/>
        <w:spacing w:line="600" w:lineRule="exact"/>
        <w:jc w:val="center"/>
        <w:rPr>
          <w:rFonts w:ascii="黑体" w:hAnsi="宋体" w:eastAsia="黑体"/>
          <w:sz w:val="48"/>
          <w:szCs w:val="48"/>
        </w:rPr>
      </w:pPr>
    </w:p>
    <w:p>
      <w:pPr>
        <w:adjustRightInd w:val="0"/>
        <w:snapToGrid w:val="0"/>
        <w:spacing w:line="600" w:lineRule="exact"/>
        <w:jc w:val="center"/>
        <w:rPr>
          <w:rFonts w:ascii="黑体" w:hAnsi="宋体" w:eastAsia="黑体"/>
          <w:sz w:val="48"/>
          <w:szCs w:val="48"/>
        </w:rPr>
      </w:pPr>
    </w:p>
    <w:p>
      <w:pPr>
        <w:adjustRightInd w:val="0"/>
        <w:snapToGrid w:val="0"/>
        <w:spacing w:line="600" w:lineRule="exact"/>
        <w:jc w:val="center"/>
        <w:rPr>
          <w:rFonts w:ascii="黑体" w:hAnsi="宋体" w:eastAsia="黑体"/>
          <w:sz w:val="48"/>
          <w:szCs w:val="48"/>
        </w:rPr>
      </w:pPr>
    </w:p>
    <w:p>
      <w:pPr>
        <w:adjustRightInd w:val="0"/>
        <w:snapToGrid w:val="0"/>
        <w:spacing w:line="600" w:lineRule="exact"/>
        <w:jc w:val="center"/>
        <w:rPr>
          <w:rFonts w:ascii="黑体" w:hAnsi="宋体" w:eastAsia="黑体"/>
          <w:sz w:val="48"/>
          <w:szCs w:val="48"/>
        </w:rPr>
      </w:pPr>
    </w:p>
    <w:p>
      <w:pPr>
        <w:adjustRightInd w:val="0"/>
        <w:snapToGrid w:val="0"/>
        <w:spacing w:line="600" w:lineRule="exact"/>
        <w:jc w:val="center"/>
        <w:rPr>
          <w:rFonts w:ascii="黑体" w:hAnsi="宋体" w:eastAsia="黑体"/>
          <w:sz w:val="48"/>
          <w:szCs w:val="48"/>
        </w:rPr>
      </w:pPr>
    </w:p>
    <w:p>
      <w:pPr>
        <w:adjustRightInd w:val="0"/>
        <w:snapToGrid w:val="0"/>
        <w:spacing w:line="600" w:lineRule="exact"/>
        <w:jc w:val="center"/>
        <w:rPr>
          <w:rFonts w:ascii="黑体" w:hAnsi="宋体" w:eastAsia="黑体"/>
          <w:sz w:val="48"/>
          <w:szCs w:val="48"/>
        </w:rPr>
      </w:pPr>
    </w:p>
    <w:p>
      <w:pPr>
        <w:adjustRightInd w:val="0"/>
        <w:snapToGrid w:val="0"/>
        <w:spacing w:line="600" w:lineRule="exact"/>
        <w:jc w:val="center"/>
        <w:rPr>
          <w:rFonts w:ascii="黑体" w:hAnsi="宋体" w:eastAsia="黑体"/>
          <w:sz w:val="48"/>
          <w:szCs w:val="48"/>
        </w:rPr>
      </w:pPr>
    </w:p>
    <w:p>
      <w:pPr>
        <w:adjustRightInd w:val="0"/>
        <w:snapToGrid w:val="0"/>
        <w:spacing w:line="600" w:lineRule="exact"/>
        <w:jc w:val="center"/>
        <w:rPr>
          <w:rFonts w:ascii="黑体" w:hAnsi="宋体" w:eastAsia="黑体"/>
          <w:sz w:val="48"/>
          <w:szCs w:val="48"/>
        </w:rPr>
      </w:pPr>
    </w:p>
    <w:p>
      <w:pPr>
        <w:adjustRightInd w:val="0"/>
        <w:snapToGrid w:val="0"/>
        <w:spacing w:line="600" w:lineRule="exact"/>
        <w:jc w:val="center"/>
        <w:rPr>
          <w:rFonts w:ascii="黑体" w:hAnsi="宋体" w:eastAsia="黑体"/>
          <w:sz w:val="48"/>
          <w:szCs w:val="48"/>
        </w:rPr>
      </w:pPr>
    </w:p>
    <w:p>
      <w:pPr>
        <w:adjustRightInd w:val="0"/>
        <w:snapToGrid w:val="0"/>
        <w:spacing w:line="600" w:lineRule="exact"/>
        <w:jc w:val="center"/>
        <w:rPr>
          <w:rFonts w:ascii="黑体" w:hAnsi="宋体" w:eastAsia="黑体"/>
          <w:sz w:val="48"/>
          <w:szCs w:val="48"/>
        </w:rPr>
      </w:pPr>
    </w:p>
    <w:p>
      <w:pPr>
        <w:adjustRightInd w:val="0"/>
        <w:snapToGrid w:val="0"/>
        <w:spacing w:line="600" w:lineRule="exact"/>
        <w:jc w:val="center"/>
        <w:rPr>
          <w:rFonts w:ascii="黑体" w:hAnsi="宋体" w:eastAsia="黑体"/>
          <w:sz w:val="48"/>
          <w:szCs w:val="48"/>
        </w:rPr>
      </w:pPr>
    </w:p>
    <w:p>
      <w:pPr>
        <w:adjustRightInd w:val="0"/>
        <w:snapToGrid w:val="0"/>
        <w:spacing w:line="600" w:lineRule="exact"/>
        <w:jc w:val="center"/>
        <w:rPr>
          <w:rFonts w:ascii="黑体" w:hAnsi="宋体" w:eastAsia="黑体"/>
          <w:sz w:val="48"/>
          <w:szCs w:val="48"/>
        </w:rPr>
      </w:pPr>
    </w:p>
    <w:p>
      <w:pPr>
        <w:adjustRightInd w:val="0"/>
        <w:snapToGrid w:val="0"/>
        <w:spacing w:line="600" w:lineRule="exact"/>
        <w:jc w:val="center"/>
        <w:rPr>
          <w:rFonts w:ascii="黑体" w:hAnsi="宋体" w:eastAsia="黑体"/>
          <w:sz w:val="48"/>
          <w:szCs w:val="48"/>
        </w:rPr>
      </w:pPr>
    </w:p>
    <w:p>
      <w:pPr>
        <w:adjustRightInd w:val="0"/>
        <w:snapToGrid w:val="0"/>
        <w:spacing w:line="600" w:lineRule="exact"/>
        <w:jc w:val="center"/>
        <w:rPr>
          <w:rFonts w:ascii="黑体" w:hAnsi="宋体" w:eastAsia="黑体"/>
          <w:sz w:val="48"/>
          <w:szCs w:val="48"/>
        </w:rPr>
      </w:pPr>
    </w:p>
    <w:p>
      <w:pPr>
        <w:adjustRightInd w:val="0"/>
        <w:snapToGrid w:val="0"/>
        <w:spacing w:line="600" w:lineRule="exact"/>
        <w:rPr>
          <w:rFonts w:ascii="黑体" w:hAnsi="宋体" w:eastAsia="黑体"/>
          <w:sz w:val="48"/>
          <w:szCs w:val="48"/>
        </w:rPr>
      </w:pPr>
    </w:p>
    <w:p>
      <w:pPr>
        <w:adjustRightInd w:val="0"/>
        <w:snapToGrid w:val="0"/>
        <w:spacing w:line="600" w:lineRule="exact"/>
        <w:ind w:firstLine="3360" w:firstLineChars="700"/>
        <w:rPr>
          <w:rFonts w:ascii="黑体" w:hAnsi="宋体" w:eastAsia="黑体"/>
          <w:sz w:val="48"/>
          <w:szCs w:val="48"/>
        </w:rPr>
      </w:pPr>
      <w:r>
        <w:rPr>
          <w:rFonts w:hint="eastAsia" w:ascii="黑体" w:hAnsi="宋体" w:eastAsia="黑体"/>
          <w:sz w:val="48"/>
          <w:szCs w:val="48"/>
        </w:rPr>
        <w:t>第三部分</w:t>
      </w:r>
    </w:p>
    <w:p>
      <w:pPr>
        <w:adjustRightInd w:val="0"/>
        <w:snapToGrid w:val="0"/>
        <w:spacing w:line="600" w:lineRule="exact"/>
        <w:jc w:val="center"/>
        <w:rPr>
          <w:rFonts w:ascii="黑体" w:hAnsi="宋体" w:eastAsia="黑体"/>
          <w:sz w:val="48"/>
          <w:szCs w:val="48"/>
        </w:rPr>
      </w:pPr>
      <w:r>
        <w:rPr>
          <w:rFonts w:hint="eastAsia" w:ascii="黑体" w:hAnsi="宋体" w:eastAsia="黑体"/>
          <w:sz w:val="48"/>
          <w:szCs w:val="48"/>
        </w:rPr>
        <w:t>那曲市第三小学2025年度决算情况说明</w:t>
      </w:r>
    </w:p>
    <w:p>
      <w:pPr>
        <w:adjustRightInd w:val="0"/>
        <w:snapToGrid w:val="0"/>
        <w:spacing w:line="560" w:lineRule="exact"/>
        <w:ind w:firstLine="161" w:firstLineChars="50"/>
        <w:rPr>
          <w:rFonts w:ascii="仿宋" w:hAnsi="仿宋" w:eastAsia="仿宋" w:cs="仿宋"/>
          <w:sz w:val="32"/>
          <w:szCs w:val="32"/>
        </w:rPr>
      </w:pPr>
      <w:r>
        <w:rPr>
          <w:rFonts w:hint="eastAsia" w:ascii="仿宋" w:hAnsi="仿宋" w:eastAsia="仿宋" w:cs="仿宋"/>
          <w:b/>
          <w:bCs/>
          <w:sz w:val="32"/>
          <w:szCs w:val="32"/>
        </w:rPr>
        <w:t>一、2025年度一般公共预算及政府基金收支总体情况说明</w:t>
      </w:r>
    </w:p>
    <w:p>
      <w:pPr>
        <w:adjustRightInd w:val="0"/>
        <w:snapToGrid w:val="0"/>
        <w:spacing w:line="560" w:lineRule="exact"/>
        <w:ind w:firstLine="320" w:firstLineChars="100"/>
        <w:rPr>
          <w:rFonts w:ascii="仿宋" w:hAnsi="仿宋" w:eastAsia="仿宋" w:cs="仿宋"/>
          <w:color w:val="000000"/>
          <w:sz w:val="32"/>
          <w:szCs w:val="32"/>
        </w:rPr>
      </w:pPr>
      <w:r>
        <w:rPr>
          <w:rFonts w:hint="eastAsia" w:ascii="仿宋" w:hAnsi="仿宋" w:eastAsia="仿宋" w:cs="仿宋"/>
          <w:sz w:val="32"/>
          <w:szCs w:val="32"/>
        </w:rPr>
        <w:t>2025年度总收入为7364.91万元，上年度结转收入为24.03万元，支出为7384.53万元，年末结转资金为4.4万元。</w:t>
      </w:r>
      <w:r>
        <w:rPr>
          <w:rFonts w:hint="eastAsia" w:ascii="仿宋" w:hAnsi="仿宋" w:eastAsia="仿宋" w:cs="仿宋"/>
          <w:color w:val="000000"/>
          <w:sz w:val="32"/>
          <w:szCs w:val="32"/>
        </w:rPr>
        <w:t>其中2025年度无政府性基金预算收支资金。</w:t>
      </w:r>
    </w:p>
    <w:p>
      <w:pPr>
        <w:adjustRightInd w:val="0"/>
        <w:snapToGrid w:val="0"/>
        <w:spacing w:line="560" w:lineRule="exact"/>
        <w:rPr>
          <w:rFonts w:ascii="仿宋" w:hAnsi="仿宋" w:eastAsia="仿宋" w:cs="仿宋"/>
          <w:b/>
          <w:bCs/>
          <w:sz w:val="32"/>
          <w:szCs w:val="32"/>
        </w:rPr>
      </w:pPr>
      <w:r>
        <w:rPr>
          <w:rFonts w:hint="eastAsia" w:ascii="仿宋" w:hAnsi="仿宋" w:eastAsia="仿宋" w:cs="仿宋"/>
          <w:b/>
          <w:bCs/>
          <w:sz w:val="32"/>
          <w:szCs w:val="32"/>
        </w:rPr>
        <w:t>二、2025年度一般公共预算收入情况说明</w:t>
      </w:r>
    </w:p>
    <w:p>
      <w:pPr>
        <w:adjustRightInd w:val="0"/>
        <w:snapToGrid w:val="0"/>
        <w:spacing w:line="560" w:lineRule="exact"/>
        <w:ind w:firstLine="627" w:firstLineChars="196"/>
        <w:rPr>
          <w:rFonts w:ascii="仿宋" w:hAnsi="仿宋" w:eastAsia="仿宋" w:cs="仿宋"/>
          <w:sz w:val="32"/>
          <w:szCs w:val="32"/>
        </w:rPr>
      </w:pPr>
      <w:r>
        <w:rPr>
          <w:rFonts w:hint="eastAsia" w:ascii="仿宋" w:hAnsi="仿宋" w:eastAsia="仿宋" w:cs="仿宋"/>
          <w:sz w:val="32"/>
          <w:szCs w:val="32"/>
        </w:rPr>
        <w:t>2025年财政拨款为7388.94万元，2024年财政拨款6398.45万元，收入增加990.49万元，同比增加15.48%。其主要原因是2025人员经费增加。</w:t>
      </w:r>
    </w:p>
    <w:p>
      <w:pPr>
        <w:adjustRightInd w:val="0"/>
        <w:snapToGrid w:val="0"/>
        <w:spacing w:line="560" w:lineRule="exact"/>
        <w:rPr>
          <w:rFonts w:ascii="仿宋" w:hAnsi="仿宋" w:eastAsia="仿宋" w:cs="仿宋"/>
          <w:b/>
          <w:bCs/>
          <w:sz w:val="32"/>
          <w:szCs w:val="32"/>
        </w:rPr>
      </w:pPr>
      <w:r>
        <w:rPr>
          <w:rFonts w:hint="eastAsia" w:ascii="仿宋" w:hAnsi="仿宋" w:eastAsia="仿宋" w:cs="仿宋"/>
          <w:b/>
          <w:bCs/>
          <w:sz w:val="32"/>
          <w:szCs w:val="32"/>
        </w:rPr>
        <w:t>三、2025年度政府基金预算收入情况说明</w:t>
      </w:r>
    </w:p>
    <w:p>
      <w:pPr>
        <w:adjustRightInd w:val="0"/>
        <w:snapToGrid w:val="0"/>
        <w:spacing w:line="560" w:lineRule="exact"/>
        <w:ind w:firstLine="320" w:firstLineChars="100"/>
        <w:rPr>
          <w:rFonts w:ascii="仿宋" w:hAnsi="仿宋" w:eastAsia="仿宋" w:cs="仿宋"/>
          <w:b/>
          <w:bCs/>
          <w:sz w:val="32"/>
          <w:szCs w:val="32"/>
        </w:rPr>
      </w:pPr>
      <w:r>
        <w:rPr>
          <w:rFonts w:hint="eastAsia" w:ascii="仿宋" w:hAnsi="仿宋" w:eastAsia="仿宋" w:cs="仿宋"/>
          <w:color w:val="000000"/>
          <w:sz w:val="32"/>
          <w:szCs w:val="32"/>
        </w:rPr>
        <w:t>2025年度本单位无政府性基金预算收入支出。</w:t>
      </w:r>
      <w:r>
        <w:rPr>
          <w:rFonts w:hint="eastAsia" w:ascii="仿宋" w:hAnsi="仿宋" w:eastAsia="仿宋" w:cs="仿宋"/>
          <w:b/>
          <w:bCs/>
          <w:sz w:val="32"/>
          <w:szCs w:val="32"/>
        </w:rPr>
        <w:t xml:space="preserve"> </w:t>
      </w:r>
    </w:p>
    <w:p>
      <w:pPr>
        <w:adjustRightInd w:val="0"/>
        <w:snapToGrid w:val="0"/>
        <w:spacing w:line="560" w:lineRule="exact"/>
        <w:rPr>
          <w:rFonts w:ascii="仿宋" w:hAnsi="仿宋" w:eastAsia="仿宋"/>
          <w:b/>
          <w:sz w:val="32"/>
          <w:szCs w:val="32"/>
        </w:rPr>
      </w:pPr>
      <w:r>
        <w:rPr>
          <w:rFonts w:hint="eastAsia" w:ascii="仿宋" w:hAnsi="仿宋" w:eastAsia="仿宋"/>
          <w:b/>
          <w:sz w:val="32"/>
          <w:szCs w:val="32"/>
        </w:rPr>
        <w:t>四、2025年度一般公共预算支出情况说明</w:t>
      </w:r>
    </w:p>
    <w:p>
      <w:pPr>
        <w:pStyle w:val="12"/>
        <w:framePr w:wrap="auto" w:vAnchor="margin" w:hAnchor="text" w:yAlign="inline"/>
        <w:jc w:val="center"/>
        <w:rPr>
          <w:rFonts w:hint="default" w:ascii="仿宋" w:hAnsi="仿宋" w:eastAsia="仿宋" w:cs="仿宋"/>
          <w:color w:val="auto"/>
          <w:kern w:val="2"/>
          <w:sz w:val="32"/>
          <w:szCs w:val="32"/>
          <w:lang w:val="en-US"/>
        </w:rPr>
      </w:pPr>
      <w:r>
        <w:rPr>
          <w:rFonts w:ascii="仿宋" w:hAnsi="仿宋" w:eastAsia="仿宋" w:cs="仿宋"/>
          <w:color w:val="auto"/>
          <w:kern w:val="2"/>
          <w:sz w:val="32"/>
          <w:szCs w:val="32"/>
          <w:lang w:val="en-US"/>
        </w:rPr>
        <w:t xml:space="preserve">   2025</w:t>
      </w:r>
      <w:r>
        <w:rPr>
          <w:rFonts w:ascii="仿宋" w:hAnsi="仿宋" w:eastAsia="仿宋" w:cs="仿宋"/>
          <w:color w:val="auto"/>
          <w:kern w:val="2"/>
          <w:sz w:val="32"/>
          <w:szCs w:val="32"/>
        </w:rPr>
        <w:t>年一般公共预算拨款</w:t>
      </w:r>
      <w:r>
        <w:rPr>
          <w:rFonts w:ascii="仿宋" w:hAnsi="仿宋" w:eastAsia="仿宋" w:cs="仿宋"/>
          <w:b/>
          <w:color w:val="auto"/>
          <w:kern w:val="2"/>
          <w:sz w:val="32"/>
          <w:szCs w:val="32"/>
        </w:rPr>
        <w:t>基本支出</w:t>
      </w:r>
      <w:r>
        <w:rPr>
          <w:rFonts w:ascii="仿宋" w:hAnsi="仿宋" w:eastAsia="仿宋" w:cs="仿宋"/>
          <w:b/>
          <w:color w:val="auto"/>
          <w:kern w:val="2"/>
          <w:sz w:val="32"/>
          <w:szCs w:val="32"/>
          <w:lang w:val="en-US"/>
        </w:rPr>
        <w:t>7283.79</w:t>
      </w:r>
      <w:r>
        <w:rPr>
          <w:rFonts w:ascii="仿宋" w:hAnsi="仿宋" w:eastAsia="仿宋" w:cs="仿宋"/>
          <w:b/>
          <w:color w:val="auto"/>
          <w:kern w:val="2"/>
          <w:sz w:val="32"/>
          <w:szCs w:val="32"/>
        </w:rPr>
        <w:t>万元</w:t>
      </w:r>
      <w:r>
        <w:rPr>
          <w:rFonts w:ascii="仿宋" w:hAnsi="仿宋" w:eastAsia="仿宋" w:cs="仿宋"/>
          <w:color w:val="auto"/>
          <w:kern w:val="2"/>
          <w:sz w:val="32"/>
          <w:szCs w:val="32"/>
        </w:rPr>
        <w:t>，其中：</w:t>
      </w:r>
    </w:p>
    <w:p>
      <w:pPr>
        <w:pStyle w:val="12"/>
        <w:framePr w:wrap="auto" w:vAnchor="margin" w:hAnchor="text" w:yAlign="inline"/>
        <w:rPr>
          <w:rFonts w:hint="default" w:ascii="仿宋" w:hAnsi="仿宋" w:eastAsia="仿宋" w:cs="仿宋"/>
          <w:b/>
          <w:color w:val="auto"/>
          <w:kern w:val="2"/>
          <w:sz w:val="32"/>
          <w:szCs w:val="32"/>
          <w:lang w:val="en-US"/>
        </w:rPr>
      </w:pPr>
      <w:r>
        <w:rPr>
          <w:rFonts w:ascii="仿宋" w:hAnsi="仿宋" w:eastAsia="仿宋" w:cs="仿宋"/>
          <w:color w:val="auto"/>
          <w:kern w:val="2"/>
          <w:sz w:val="32"/>
          <w:szCs w:val="32"/>
        </w:rPr>
        <w:t>人员经费支出</w:t>
      </w:r>
      <w:r>
        <w:rPr>
          <w:rFonts w:ascii="仿宋" w:hAnsi="仿宋" w:eastAsia="仿宋" w:cs="仿宋"/>
          <w:color w:val="auto"/>
          <w:kern w:val="2"/>
          <w:sz w:val="32"/>
          <w:szCs w:val="32"/>
          <w:lang w:val="en-US"/>
        </w:rPr>
        <w:t>6841.15</w:t>
      </w:r>
      <w:r>
        <w:rPr>
          <w:rFonts w:ascii="仿宋" w:hAnsi="仿宋" w:eastAsia="仿宋" w:cs="仿宋"/>
          <w:color w:val="auto"/>
          <w:kern w:val="2"/>
          <w:sz w:val="32"/>
          <w:szCs w:val="32"/>
        </w:rPr>
        <w:t>万元，主要包括：工资福利支出</w:t>
      </w:r>
      <w:r>
        <w:rPr>
          <w:rFonts w:ascii="仿宋" w:hAnsi="仿宋" w:eastAsia="仿宋" w:cs="仿宋"/>
          <w:color w:val="auto"/>
          <w:kern w:val="2"/>
          <w:sz w:val="32"/>
          <w:szCs w:val="32"/>
          <w:lang w:val="en-US"/>
        </w:rPr>
        <w:t>5828.64</w:t>
      </w:r>
      <w:r>
        <w:rPr>
          <w:rFonts w:ascii="仿宋" w:hAnsi="仿宋" w:eastAsia="仿宋" w:cs="仿宋"/>
          <w:color w:val="auto"/>
          <w:kern w:val="2"/>
          <w:sz w:val="32"/>
          <w:szCs w:val="32"/>
        </w:rPr>
        <w:t>万元。对个人和家庭的补助</w:t>
      </w:r>
      <w:r>
        <w:rPr>
          <w:rFonts w:ascii="仿宋" w:hAnsi="仿宋" w:eastAsia="仿宋" w:cs="仿宋"/>
          <w:color w:val="auto"/>
          <w:kern w:val="2"/>
          <w:sz w:val="32"/>
          <w:szCs w:val="32"/>
          <w:lang w:val="en-US"/>
        </w:rPr>
        <w:t>1012.5</w:t>
      </w:r>
      <w:r>
        <w:rPr>
          <w:rFonts w:ascii="仿宋" w:hAnsi="仿宋" w:eastAsia="仿宋" w:cs="仿宋"/>
          <w:color w:val="auto"/>
          <w:kern w:val="2"/>
          <w:sz w:val="32"/>
          <w:szCs w:val="32"/>
        </w:rPr>
        <w:t>万元，其中包括；助学金</w:t>
      </w:r>
      <w:r>
        <w:rPr>
          <w:rFonts w:ascii="仿宋" w:hAnsi="仿宋" w:eastAsia="仿宋" w:cs="仿宋"/>
          <w:color w:val="auto"/>
          <w:kern w:val="2"/>
          <w:sz w:val="32"/>
          <w:szCs w:val="32"/>
          <w:lang w:val="en-US"/>
        </w:rPr>
        <w:t>950.54万元，其他对个人和家庭补助支出47.75万元，奖励金5.4万元，医疗费补助3.1万元，生活补助5.71万元。公用经费支出</w:t>
      </w:r>
      <w:r>
        <w:rPr>
          <w:rFonts w:ascii="仿宋" w:hAnsi="仿宋" w:eastAsia="仿宋" w:cs="仿宋"/>
          <w:b/>
          <w:color w:val="auto"/>
          <w:kern w:val="2"/>
          <w:sz w:val="32"/>
          <w:szCs w:val="32"/>
          <w:lang w:val="en-US"/>
        </w:rPr>
        <w:t>442.64万元</w:t>
      </w:r>
      <w:r>
        <w:rPr>
          <w:rFonts w:ascii="仿宋" w:hAnsi="仿宋" w:eastAsia="仿宋" w:cs="仿宋"/>
          <w:color w:val="auto"/>
          <w:kern w:val="2"/>
          <w:sz w:val="32"/>
          <w:szCs w:val="32"/>
          <w:lang w:val="en-US"/>
        </w:rPr>
        <w:t>。其中商品和服务支出442.64万元</w:t>
      </w:r>
      <w:r>
        <w:rPr>
          <w:rFonts w:ascii="仿宋" w:hAnsi="仿宋" w:eastAsia="仿宋" w:cs="仿宋"/>
          <w:color w:val="auto"/>
          <w:kern w:val="2"/>
          <w:sz w:val="32"/>
          <w:szCs w:val="32"/>
        </w:rPr>
        <w:t>，主要包括：办公费86.86万元、印刷费20.05万元、电费15.00万元、水费13.88万元、取暖费35.37万元、维修（护）费96.64万元、培训费6.24万元、专用材料费2.8万元、劳务费2.8万元、工会经费69.45万元、公务用车运行维护费0.52万元、其他交通费用0.8万元、其他商品和服务支出92.22万元</w:t>
      </w:r>
      <w:r>
        <w:rPr>
          <w:rFonts w:ascii="仿宋" w:hAnsi="仿宋" w:eastAsia="仿宋" w:cs="仿宋"/>
          <w:b/>
          <w:color w:val="auto"/>
          <w:kern w:val="2"/>
          <w:sz w:val="32"/>
          <w:szCs w:val="32"/>
        </w:rPr>
        <w:t>。项目支出</w:t>
      </w:r>
      <w:r>
        <w:rPr>
          <w:rFonts w:ascii="仿宋" w:hAnsi="仿宋" w:eastAsia="仿宋" w:cs="仿宋"/>
          <w:b/>
          <w:color w:val="auto"/>
          <w:kern w:val="2"/>
          <w:sz w:val="32"/>
          <w:szCs w:val="32"/>
          <w:lang w:val="en-US"/>
        </w:rPr>
        <w:t>81.12万元。</w:t>
      </w:r>
    </w:p>
    <w:p>
      <w:pPr>
        <w:adjustRightInd w:val="0"/>
        <w:snapToGrid w:val="0"/>
        <w:spacing w:line="560" w:lineRule="exact"/>
        <w:rPr>
          <w:rFonts w:ascii="黑体" w:hAnsi="宋体" w:eastAsia="黑体"/>
          <w:sz w:val="32"/>
          <w:szCs w:val="32"/>
        </w:rPr>
      </w:pPr>
      <w:r>
        <w:rPr>
          <w:rFonts w:hint="eastAsia" w:ascii="黑体" w:hAnsi="宋体" w:eastAsia="黑体"/>
          <w:sz w:val="32"/>
          <w:szCs w:val="32"/>
        </w:rPr>
        <w:t>五、2025年度政府基金预算支出情况说明</w:t>
      </w:r>
    </w:p>
    <w:p>
      <w:pPr>
        <w:adjustRightInd w:val="0"/>
        <w:snapToGrid w:val="0"/>
        <w:spacing w:line="560" w:lineRule="exact"/>
        <w:ind w:firstLine="320" w:firstLineChars="100"/>
        <w:rPr>
          <w:rFonts w:ascii="仿宋" w:hAnsi="仿宋" w:eastAsia="仿宋" w:cs="仿宋"/>
          <w:b/>
          <w:bCs/>
          <w:sz w:val="32"/>
          <w:szCs w:val="32"/>
        </w:rPr>
      </w:pPr>
      <w:r>
        <w:rPr>
          <w:rFonts w:hint="eastAsia" w:ascii="黑体" w:hAnsi="宋体" w:eastAsia="黑体"/>
          <w:sz w:val="32"/>
          <w:szCs w:val="32"/>
        </w:rPr>
        <w:t xml:space="preserve"> </w:t>
      </w:r>
      <w:r>
        <w:rPr>
          <w:rFonts w:ascii="仿宋" w:hAnsi="仿宋" w:eastAsia="仿宋" w:cs="仿宋"/>
          <w:sz w:val="32"/>
          <w:szCs w:val="32"/>
        </w:rPr>
        <w:t>202</w:t>
      </w:r>
      <w:r>
        <w:rPr>
          <w:rFonts w:hint="eastAsia" w:ascii="仿宋" w:hAnsi="仿宋" w:eastAsia="仿宋" w:cs="仿宋"/>
          <w:sz w:val="32"/>
          <w:szCs w:val="32"/>
        </w:rPr>
        <w:t>5</w:t>
      </w:r>
      <w:r>
        <w:rPr>
          <w:rFonts w:hint="eastAsia" w:ascii="仿宋" w:hAnsi="仿宋" w:eastAsia="仿宋" w:cs="仿宋"/>
          <w:color w:val="000000"/>
          <w:sz w:val="32"/>
          <w:szCs w:val="32"/>
        </w:rPr>
        <w:t>年度无政府性基金支出。</w:t>
      </w:r>
    </w:p>
    <w:p>
      <w:pPr>
        <w:adjustRightInd w:val="0"/>
        <w:snapToGrid w:val="0"/>
        <w:spacing w:line="560" w:lineRule="exact"/>
        <w:rPr>
          <w:rFonts w:ascii="黑体" w:hAnsi="宋体" w:eastAsia="黑体"/>
          <w:sz w:val="32"/>
          <w:szCs w:val="32"/>
        </w:rPr>
      </w:pPr>
      <w:bookmarkStart w:id="0" w:name="OLE_LINK2"/>
      <w:bookmarkStart w:id="1" w:name="OLE_LINK1"/>
      <w:r>
        <w:rPr>
          <w:rFonts w:hint="eastAsia" w:ascii="黑体" w:hAnsi="宋体" w:eastAsia="黑体"/>
          <w:sz w:val="32"/>
          <w:szCs w:val="32"/>
        </w:rPr>
        <w:t>六</w:t>
      </w:r>
      <w:bookmarkEnd w:id="0"/>
      <w:bookmarkEnd w:id="1"/>
      <w:r>
        <w:rPr>
          <w:rFonts w:ascii="黑体" w:hAnsi="宋体" w:eastAsia="黑体"/>
          <w:sz w:val="32"/>
          <w:szCs w:val="32"/>
        </w:rPr>
        <w:t>、</w:t>
      </w:r>
      <w:r>
        <w:rPr>
          <w:rFonts w:hint="eastAsia" w:ascii="黑体" w:hAnsi="宋体" w:eastAsia="黑体"/>
          <w:sz w:val="32"/>
          <w:szCs w:val="32"/>
        </w:rPr>
        <w:t>2025年度一般公共预算及政府性基金预算财政拨款支出情况说明</w:t>
      </w:r>
    </w:p>
    <w:p>
      <w:pPr>
        <w:adjustRightInd w:val="0"/>
        <w:snapToGrid w:val="0"/>
        <w:spacing w:line="560" w:lineRule="exact"/>
        <w:rPr>
          <w:rFonts w:ascii="黑体" w:hAnsi="宋体" w:eastAsia="黑体"/>
          <w:sz w:val="32"/>
          <w:szCs w:val="32"/>
        </w:rPr>
      </w:pPr>
      <w:r>
        <w:rPr>
          <w:rFonts w:hint="eastAsia" w:ascii="仿宋_GB2312" w:eastAsia="仿宋_GB2312"/>
          <w:sz w:val="32"/>
          <w:szCs w:val="32"/>
        </w:rPr>
        <w:t>（一）财政拨款支出决算总体情况</w:t>
      </w:r>
    </w:p>
    <w:p>
      <w:pPr>
        <w:adjustRightInd w:val="0"/>
        <w:snapToGrid w:val="0"/>
        <w:spacing w:line="560" w:lineRule="exact"/>
        <w:ind w:firstLine="320" w:firstLineChars="100"/>
        <w:rPr>
          <w:rFonts w:ascii="黑体" w:hAnsi="宋体" w:eastAsia="黑体"/>
          <w:sz w:val="32"/>
          <w:szCs w:val="32"/>
        </w:rPr>
      </w:pPr>
      <w:r>
        <w:rPr>
          <w:rFonts w:hint="eastAsia" w:ascii="仿宋_GB2312" w:eastAsia="仿宋_GB2312"/>
          <w:sz w:val="32"/>
          <w:szCs w:val="32"/>
        </w:rPr>
        <w:t>1、2025年一般公共预算支出为7364.91万元，基本支出7283.79万元，其中人员经费为6841.14万元，日常公用经费442.64万元，行政事业类项目支出为81.12万元。</w:t>
      </w:r>
    </w:p>
    <w:p>
      <w:pPr>
        <w:adjustRightInd w:val="0"/>
        <w:snapToGrid w:val="0"/>
        <w:spacing w:line="560" w:lineRule="exact"/>
        <w:ind w:firstLine="320" w:firstLineChars="100"/>
        <w:rPr>
          <w:rFonts w:ascii="仿宋" w:hAnsi="仿宋" w:eastAsia="仿宋" w:cs="仿宋"/>
          <w:b/>
          <w:bCs/>
          <w:sz w:val="32"/>
          <w:szCs w:val="32"/>
        </w:rPr>
      </w:pPr>
      <w:r>
        <w:rPr>
          <w:rFonts w:hint="eastAsia" w:ascii="仿宋_GB2312" w:eastAsia="仿宋_GB2312"/>
          <w:sz w:val="32"/>
          <w:szCs w:val="32"/>
        </w:rPr>
        <w:t>2、</w:t>
      </w:r>
      <w:r>
        <w:rPr>
          <w:rFonts w:hint="eastAsia" w:ascii="仿宋" w:hAnsi="仿宋" w:eastAsia="仿宋" w:cs="仿宋"/>
          <w:color w:val="000000"/>
          <w:sz w:val="32"/>
          <w:szCs w:val="32"/>
        </w:rPr>
        <w:t>2025年度无政府性基金预算收支。</w:t>
      </w:r>
      <w:r>
        <w:rPr>
          <w:rFonts w:hint="eastAsia" w:ascii="仿宋" w:hAnsi="仿宋" w:eastAsia="仿宋" w:cs="仿宋"/>
          <w:b/>
          <w:bCs/>
          <w:sz w:val="32"/>
          <w:szCs w:val="32"/>
        </w:rPr>
        <w:t xml:space="preserve"> </w:t>
      </w:r>
    </w:p>
    <w:p>
      <w:pPr>
        <w:adjustRightInd w:val="0"/>
        <w:snapToGrid w:val="0"/>
        <w:spacing w:line="560" w:lineRule="exact"/>
        <w:ind w:firstLine="320" w:firstLineChars="100"/>
        <w:rPr>
          <w:rFonts w:ascii="仿宋_GB2312" w:eastAsia="仿宋_GB2312"/>
          <w:sz w:val="32"/>
          <w:szCs w:val="32"/>
        </w:rPr>
      </w:pPr>
      <w:r>
        <w:rPr>
          <w:rFonts w:hint="eastAsia" w:ascii="仿宋_GB2312" w:eastAsia="仿宋_GB2312"/>
          <w:sz w:val="32"/>
          <w:szCs w:val="32"/>
        </w:rPr>
        <w:t>3、2025年总支出为7364.91万元。</w:t>
      </w:r>
    </w:p>
    <w:p>
      <w:pPr>
        <w:adjustRightInd w:val="0"/>
        <w:snapToGrid w:val="0"/>
        <w:spacing w:line="560" w:lineRule="exact"/>
        <w:rPr>
          <w:rFonts w:ascii="仿宋_GB2312" w:eastAsia="仿宋_GB2312"/>
          <w:b/>
          <w:color w:val="000000"/>
          <w:sz w:val="32"/>
          <w:szCs w:val="32"/>
        </w:rPr>
      </w:pPr>
      <w:r>
        <w:rPr>
          <w:rFonts w:hint="eastAsia" w:ascii="仿宋_GB2312" w:eastAsia="仿宋_GB2312"/>
          <w:color w:val="000000"/>
          <w:sz w:val="32"/>
          <w:szCs w:val="32"/>
        </w:rPr>
        <w:t>（二）财政拨款支出决算结构情况</w:t>
      </w:r>
    </w:p>
    <w:p>
      <w:pPr>
        <w:adjustRightInd w:val="0"/>
        <w:snapToGrid w:val="0"/>
        <w:spacing w:line="560" w:lineRule="exact"/>
        <w:ind w:firstLine="320" w:firstLineChars="100"/>
        <w:rPr>
          <w:rFonts w:ascii="仿宋" w:hAnsi="仿宋" w:eastAsia="仿宋" w:cs="仿宋"/>
          <w:sz w:val="32"/>
          <w:szCs w:val="32"/>
        </w:rPr>
      </w:pPr>
      <w:r>
        <w:rPr>
          <w:rFonts w:hint="eastAsia" w:ascii="仿宋_GB2312" w:eastAsia="仿宋_GB2312"/>
          <w:sz w:val="32"/>
          <w:szCs w:val="32"/>
        </w:rPr>
        <w:t>1、2025年一般公共预算基本支出分为四个部分支出，工资福利支出，商品和服务支和对个人和家庭补助支出。工资福利支出为</w:t>
      </w:r>
      <w:r>
        <w:rPr>
          <w:rFonts w:hint="eastAsia" w:ascii="仿宋_GB2312" w:eastAsia="仿宋_GB2312"/>
          <w:color w:val="000000"/>
          <w:sz w:val="32"/>
          <w:szCs w:val="32"/>
        </w:rPr>
        <w:t>5828.64万元，商品和服务支出442.64万元，对个人和家庭服务支出为1012.5万元。项目支出81.12万元。其中工资福利支出明细为，基本工资645.7万元，津贴补贴3002.47万元，奖金272.14万元，伙食补助139.61万元、其他社会保障缴费20.84万元，机关事业单位基本养老保险缴费555.65万元，职业年金缴费146.78万元，职工基本医疗保险缴费267.41万元，住房公积金425.49万元，医疗费43.56万元。其他工资福利支出309.00万元。商品和服务支出明细为，</w:t>
      </w:r>
      <w:r>
        <w:rPr>
          <w:rFonts w:ascii="仿宋" w:hAnsi="仿宋" w:eastAsia="仿宋" w:cs="仿宋"/>
          <w:sz w:val="32"/>
          <w:szCs w:val="32"/>
        </w:rPr>
        <w:t>办公费</w:t>
      </w:r>
      <w:r>
        <w:rPr>
          <w:rFonts w:hint="eastAsia" w:ascii="仿宋" w:hAnsi="仿宋" w:eastAsia="仿宋" w:cs="仿宋"/>
          <w:sz w:val="32"/>
          <w:szCs w:val="32"/>
        </w:rPr>
        <w:t>86.86</w:t>
      </w:r>
      <w:r>
        <w:rPr>
          <w:rFonts w:ascii="仿宋" w:hAnsi="仿宋" w:eastAsia="仿宋" w:cs="仿宋"/>
          <w:sz w:val="32"/>
          <w:szCs w:val="32"/>
        </w:rPr>
        <w:t>万元、印刷费</w:t>
      </w:r>
      <w:r>
        <w:rPr>
          <w:rFonts w:hint="eastAsia" w:ascii="仿宋" w:hAnsi="仿宋" w:eastAsia="仿宋" w:cs="仿宋"/>
          <w:sz w:val="32"/>
          <w:szCs w:val="32"/>
        </w:rPr>
        <w:t>20.05</w:t>
      </w:r>
      <w:r>
        <w:rPr>
          <w:rFonts w:ascii="仿宋" w:hAnsi="仿宋" w:eastAsia="仿宋" w:cs="仿宋"/>
          <w:sz w:val="32"/>
          <w:szCs w:val="32"/>
        </w:rPr>
        <w:t>万元、水费</w:t>
      </w:r>
      <w:r>
        <w:rPr>
          <w:rFonts w:hint="eastAsia" w:ascii="仿宋" w:hAnsi="仿宋" w:eastAsia="仿宋" w:cs="仿宋"/>
          <w:sz w:val="32"/>
          <w:szCs w:val="32"/>
        </w:rPr>
        <w:t>13.88</w:t>
      </w:r>
      <w:r>
        <w:rPr>
          <w:rFonts w:ascii="仿宋" w:hAnsi="仿宋" w:eastAsia="仿宋" w:cs="仿宋"/>
          <w:sz w:val="32"/>
          <w:szCs w:val="32"/>
        </w:rPr>
        <w:t>万元、电费</w:t>
      </w:r>
      <w:r>
        <w:rPr>
          <w:rFonts w:hint="eastAsia" w:ascii="仿宋" w:hAnsi="仿宋" w:eastAsia="仿宋" w:cs="仿宋"/>
          <w:sz w:val="32"/>
          <w:szCs w:val="32"/>
        </w:rPr>
        <w:t>15.00</w:t>
      </w:r>
      <w:r>
        <w:rPr>
          <w:rFonts w:ascii="仿宋" w:hAnsi="仿宋" w:eastAsia="仿宋" w:cs="仿宋"/>
          <w:sz w:val="32"/>
          <w:szCs w:val="32"/>
        </w:rPr>
        <w:t>万元、</w:t>
      </w:r>
      <w:r>
        <w:rPr>
          <w:rFonts w:hint="eastAsia" w:ascii="仿宋" w:hAnsi="仿宋" w:eastAsia="仿宋" w:cs="仿宋"/>
          <w:sz w:val="32"/>
          <w:szCs w:val="32"/>
        </w:rPr>
        <w:t>取暖费35.37万元、</w:t>
      </w:r>
      <w:r>
        <w:rPr>
          <w:rFonts w:ascii="仿宋" w:hAnsi="仿宋" w:eastAsia="仿宋" w:cs="仿宋"/>
          <w:sz w:val="32"/>
          <w:szCs w:val="32"/>
        </w:rPr>
        <w:t>维修（护）费</w:t>
      </w:r>
      <w:r>
        <w:rPr>
          <w:rFonts w:hint="eastAsia" w:ascii="仿宋" w:hAnsi="仿宋" w:eastAsia="仿宋" w:cs="仿宋"/>
          <w:sz w:val="32"/>
          <w:szCs w:val="32"/>
        </w:rPr>
        <w:t>96.64</w:t>
      </w:r>
      <w:r>
        <w:rPr>
          <w:rFonts w:ascii="仿宋" w:hAnsi="仿宋" w:eastAsia="仿宋" w:cs="仿宋"/>
          <w:sz w:val="32"/>
          <w:szCs w:val="32"/>
        </w:rPr>
        <w:t>万元、</w:t>
      </w:r>
      <w:r>
        <w:rPr>
          <w:rFonts w:hint="eastAsia" w:ascii="仿宋" w:hAnsi="仿宋" w:eastAsia="仿宋" w:cs="仿宋"/>
          <w:sz w:val="32"/>
          <w:szCs w:val="32"/>
        </w:rPr>
        <w:t>培训费6.24万元、专用材料费2.8万元、劳务费2.8万元、</w:t>
      </w:r>
      <w:r>
        <w:rPr>
          <w:rFonts w:ascii="仿宋" w:hAnsi="仿宋" w:eastAsia="仿宋" w:cs="仿宋"/>
          <w:sz w:val="32"/>
          <w:szCs w:val="32"/>
        </w:rPr>
        <w:t>工会经费</w:t>
      </w:r>
      <w:r>
        <w:rPr>
          <w:rFonts w:hint="eastAsia" w:ascii="仿宋" w:hAnsi="仿宋" w:eastAsia="仿宋" w:cs="仿宋"/>
          <w:sz w:val="32"/>
          <w:szCs w:val="32"/>
        </w:rPr>
        <w:t>69.45</w:t>
      </w:r>
      <w:r>
        <w:rPr>
          <w:rFonts w:ascii="仿宋" w:hAnsi="仿宋" w:eastAsia="仿宋" w:cs="仿宋"/>
          <w:sz w:val="32"/>
          <w:szCs w:val="32"/>
        </w:rPr>
        <w:t>万元，公务用车运行维护费0.</w:t>
      </w:r>
      <w:r>
        <w:rPr>
          <w:rFonts w:hint="eastAsia" w:ascii="仿宋" w:hAnsi="仿宋" w:eastAsia="仿宋" w:cs="仿宋"/>
          <w:sz w:val="32"/>
          <w:szCs w:val="32"/>
        </w:rPr>
        <w:t>52</w:t>
      </w:r>
      <w:r>
        <w:rPr>
          <w:rFonts w:ascii="仿宋" w:hAnsi="仿宋" w:eastAsia="仿宋" w:cs="仿宋"/>
          <w:sz w:val="32"/>
          <w:szCs w:val="32"/>
        </w:rPr>
        <w:t>万元</w:t>
      </w:r>
      <w:r>
        <w:rPr>
          <w:rFonts w:hint="eastAsia" w:ascii="仿宋" w:hAnsi="仿宋" w:eastAsia="仿宋" w:cs="仿宋"/>
          <w:sz w:val="32"/>
          <w:szCs w:val="32"/>
        </w:rPr>
        <w:t>、其他交通费0.8万元、</w:t>
      </w:r>
      <w:r>
        <w:rPr>
          <w:rFonts w:ascii="仿宋" w:hAnsi="仿宋" w:eastAsia="仿宋" w:cs="仿宋"/>
          <w:sz w:val="32"/>
          <w:szCs w:val="32"/>
        </w:rPr>
        <w:t>其他商品和服务支出</w:t>
      </w:r>
      <w:r>
        <w:rPr>
          <w:rFonts w:hint="eastAsia" w:ascii="仿宋" w:hAnsi="仿宋" w:eastAsia="仿宋" w:cs="仿宋"/>
          <w:sz w:val="32"/>
          <w:szCs w:val="32"/>
        </w:rPr>
        <w:t>92.22</w:t>
      </w:r>
      <w:r>
        <w:rPr>
          <w:rFonts w:ascii="仿宋" w:hAnsi="仿宋" w:eastAsia="仿宋" w:cs="仿宋"/>
          <w:sz w:val="32"/>
          <w:szCs w:val="32"/>
        </w:rPr>
        <w:t>万元</w:t>
      </w:r>
      <w:r>
        <w:rPr>
          <w:rFonts w:hint="eastAsia" w:ascii="仿宋" w:hAnsi="仿宋" w:eastAsia="仿宋" w:cs="仿宋"/>
          <w:sz w:val="32"/>
          <w:szCs w:val="32"/>
          <w:lang w:val="zh-CN"/>
        </w:rPr>
        <w:t>。对个人和家庭补助支出明细为；生活补助5.71万元、医疗费补助3.1万元、</w:t>
      </w:r>
      <w:r>
        <w:rPr>
          <w:rFonts w:ascii="仿宋" w:hAnsi="仿宋" w:eastAsia="仿宋" w:cs="仿宋"/>
          <w:sz w:val="32"/>
          <w:szCs w:val="32"/>
        </w:rPr>
        <w:t>助学金</w:t>
      </w:r>
      <w:r>
        <w:rPr>
          <w:rFonts w:hint="eastAsia" w:ascii="仿宋" w:hAnsi="仿宋" w:eastAsia="仿宋" w:cs="仿宋"/>
          <w:sz w:val="32"/>
          <w:szCs w:val="32"/>
        </w:rPr>
        <w:t>950.54</w:t>
      </w:r>
      <w:r>
        <w:rPr>
          <w:rFonts w:ascii="仿宋" w:hAnsi="仿宋" w:eastAsia="仿宋" w:cs="仿宋"/>
          <w:sz w:val="32"/>
          <w:szCs w:val="32"/>
        </w:rPr>
        <w:t>万元，</w:t>
      </w:r>
      <w:r>
        <w:rPr>
          <w:rFonts w:hint="eastAsia" w:ascii="仿宋" w:hAnsi="仿宋" w:eastAsia="仿宋" w:cs="仿宋"/>
          <w:sz w:val="32"/>
          <w:szCs w:val="32"/>
        </w:rPr>
        <w:t>奖励金5.4万元，</w:t>
      </w:r>
      <w:r>
        <w:rPr>
          <w:rFonts w:ascii="仿宋" w:hAnsi="仿宋" w:eastAsia="仿宋" w:cs="仿宋"/>
          <w:sz w:val="32"/>
          <w:szCs w:val="32"/>
        </w:rPr>
        <w:t>其他对个人和家庭补助支出</w:t>
      </w:r>
      <w:r>
        <w:rPr>
          <w:rFonts w:hint="eastAsia" w:ascii="仿宋" w:hAnsi="仿宋" w:eastAsia="仿宋" w:cs="仿宋"/>
          <w:sz w:val="32"/>
          <w:szCs w:val="32"/>
        </w:rPr>
        <w:t>47.75</w:t>
      </w:r>
      <w:r>
        <w:rPr>
          <w:rFonts w:ascii="仿宋" w:hAnsi="仿宋" w:eastAsia="仿宋" w:cs="仿宋"/>
          <w:sz w:val="32"/>
          <w:szCs w:val="32"/>
        </w:rPr>
        <w:t>万元</w:t>
      </w:r>
      <w:r>
        <w:rPr>
          <w:rFonts w:hint="eastAsia" w:ascii="仿宋" w:hAnsi="仿宋" w:eastAsia="仿宋" w:cs="仿宋"/>
          <w:sz w:val="32"/>
          <w:szCs w:val="32"/>
        </w:rPr>
        <w:t>。项目支出205.2万元。</w:t>
      </w:r>
    </w:p>
    <w:p>
      <w:pPr>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2、2025年无政府性基金预算支出。</w:t>
      </w:r>
    </w:p>
    <w:p>
      <w:pPr>
        <w:adjustRightInd w:val="0"/>
        <w:snapToGrid w:val="0"/>
        <w:spacing w:line="560" w:lineRule="exact"/>
        <w:rPr>
          <w:rFonts w:ascii="仿宋_GB2312" w:eastAsia="仿宋_GB2312"/>
          <w:sz w:val="32"/>
          <w:szCs w:val="32"/>
        </w:rPr>
      </w:pPr>
      <w:r>
        <w:rPr>
          <w:rFonts w:hint="eastAsia" w:ascii="仿宋_GB2312" w:eastAsia="仿宋_GB2312"/>
          <w:sz w:val="32"/>
          <w:szCs w:val="32"/>
        </w:rPr>
        <w:t>（三）财政拨款支出决算具体情况</w:t>
      </w:r>
    </w:p>
    <w:p>
      <w:pPr>
        <w:adjustRightInd w:val="0"/>
        <w:snapToGrid w:val="0"/>
        <w:spacing w:line="560" w:lineRule="exact"/>
        <w:ind w:firstLine="627" w:firstLineChars="196"/>
        <w:rPr>
          <w:rFonts w:hint="eastAsia" w:ascii="仿宋" w:hAnsi="仿宋" w:eastAsia="仿宋" w:cs="仿宋"/>
          <w:sz w:val="32"/>
          <w:szCs w:val="32"/>
        </w:rPr>
      </w:pPr>
      <w:r>
        <w:rPr>
          <w:rFonts w:hint="eastAsia" w:ascii="仿宋" w:hAnsi="仿宋" w:eastAsia="仿宋" w:cs="仿宋"/>
          <w:sz w:val="32"/>
          <w:szCs w:val="32"/>
        </w:rPr>
        <w:t>1</w:t>
      </w:r>
      <w:r>
        <w:rPr>
          <w:rFonts w:ascii="黑体" w:hAnsi="宋体" w:eastAsia="黑体"/>
          <w:sz w:val="32"/>
          <w:szCs w:val="32"/>
        </w:rPr>
        <w:t>、</w:t>
      </w:r>
      <w:r>
        <w:rPr>
          <w:rFonts w:hint="eastAsia" w:ascii="仿宋" w:hAnsi="仿宋" w:eastAsia="仿宋" w:cs="仿宋"/>
          <w:sz w:val="32"/>
          <w:szCs w:val="32"/>
        </w:rPr>
        <w:t xml:space="preserve"> 教育支出（类）普通教育（款）小学教育（项）5899.42万元。教育附加安排的支出（款）其他教育附加安排的支出（项）13.76万元。</w:t>
      </w:r>
    </w:p>
    <w:p>
      <w:pPr>
        <w:adjustRightInd w:val="0"/>
        <w:snapToGrid w:val="0"/>
        <w:spacing w:line="560" w:lineRule="exact"/>
        <w:ind w:firstLine="627" w:firstLineChars="196"/>
        <w:rPr>
          <w:rFonts w:ascii="仿宋" w:hAnsi="仿宋" w:eastAsia="仿宋" w:cs="仿宋"/>
          <w:sz w:val="32"/>
          <w:szCs w:val="32"/>
        </w:rPr>
      </w:pPr>
      <w:r>
        <w:rPr>
          <w:rFonts w:hint="eastAsia" w:ascii="仿宋" w:hAnsi="仿宋" w:eastAsia="仿宋" w:cs="仿宋"/>
          <w:sz w:val="32"/>
          <w:szCs w:val="32"/>
        </w:rPr>
        <w:t>2、社会保障和就业支出（类）行政事业单位养老支出（款）事业单位离退休（项）7.13万元机关事业单位基本养老保险缴费支出（项）555.65万元。机关事业单位职业年金缴费支出146.78万元。就业补助（款）公益性岗位补贴（项）5.71万元。</w:t>
      </w:r>
    </w:p>
    <w:p>
      <w:pPr>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3、卫生健康支出（类）行政事业单位医疗（款）事业单位医疗（项）267.41万元、其他行政事业单位医疗支出（项）43.56万元</w:t>
      </w:r>
    </w:p>
    <w:p>
      <w:pPr>
        <w:adjustRightInd w:val="0"/>
        <w:snapToGrid w:val="0"/>
        <w:spacing w:line="560" w:lineRule="exact"/>
        <w:ind w:firstLine="627" w:firstLineChars="196"/>
        <w:rPr>
          <w:rFonts w:ascii="仿宋" w:hAnsi="仿宋" w:eastAsia="仿宋" w:cs="仿宋"/>
          <w:sz w:val="32"/>
          <w:szCs w:val="32"/>
        </w:rPr>
      </w:pPr>
      <w:r>
        <w:rPr>
          <w:rFonts w:hint="eastAsia" w:ascii="仿宋" w:hAnsi="仿宋" w:eastAsia="仿宋" w:cs="仿宋"/>
          <w:sz w:val="32"/>
          <w:szCs w:val="32"/>
        </w:rPr>
        <w:t xml:space="preserve">4、住房保障支出（类）住房改革支出（款）住房公积金（项）425.49万元。 </w:t>
      </w:r>
    </w:p>
    <w:p>
      <w:pPr>
        <w:adjustRightInd w:val="0"/>
        <w:snapToGrid w:val="0"/>
        <w:spacing w:line="560" w:lineRule="exact"/>
        <w:ind w:firstLine="627" w:firstLineChars="196"/>
        <w:rPr>
          <w:rFonts w:ascii="仿宋" w:hAnsi="仿宋" w:eastAsia="仿宋" w:cs="仿宋"/>
          <w:sz w:val="32"/>
          <w:szCs w:val="32"/>
        </w:rPr>
      </w:pPr>
      <w:r>
        <w:rPr>
          <w:rFonts w:hint="eastAsia" w:ascii="仿宋" w:hAnsi="仿宋" w:eastAsia="仿宋" w:cs="仿宋"/>
          <w:sz w:val="32"/>
          <w:szCs w:val="32"/>
        </w:rPr>
        <w:t xml:space="preserve">                                           </w:t>
      </w:r>
    </w:p>
    <w:p>
      <w:pPr>
        <w:adjustRightInd w:val="0"/>
        <w:snapToGrid w:val="0"/>
        <w:spacing w:line="560" w:lineRule="exact"/>
        <w:rPr>
          <w:rFonts w:ascii="黑体" w:hAnsi="黑体" w:eastAsia="黑体"/>
          <w:sz w:val="32"/>
          <w:szCs w:val="32"/>
        </w:rPr>
      </w:pPr>
      <w:r>
        <w:rPr>
          <w:rFonts w:hint="eastAsia" w:ascii="黑体" w:hAnsi="宋体" w:eastAsia="黑体"/>
          <w:sz w:val="32"/>
          <w:szCs w:val="32"/>
        </w:rPr>
        <w:t>七</w:t>
      </w:r>
      <w:r>
        <w:rPr>
          <w:rFonts w:hint="eastAsia" w:ascii="仿宋" w:hAnsi="仿宋" w:eastAsia="仿宋"/>
          <w:sz w:val="32"/>
          <w:szCs w:val="32"/>
        </w:rPr>
        <w:t>、</w:t>
      </w:r>
      <w:r>
        <w:rPr>
          <w:rFonts w:hint="eastAsia" w:ascii="黑体" w:hAnsi="黑体" w:eastAsia="黑体"/>
          <w:sz w:val="32"/>
          <w:szCs w:val="32"/>
        </w:rPr>
        <w:t>2025年度“三公”经费预决算情况说明</w:t>
      </w:r>
    </w:p>
    <w:p>
      <w:pPr>
        <w:adjustRightInd w:val="0"/>
        <w:snapToGrid w:val="0"/>
        <w:spacing w:line="560" w:lineRule="exact"/>
        <w:jc w:val="center"/>
        <w:rPr>
          <w:rFonts w:ascii="方正小标宋简体" w:hAnsi="宋体" w:eastAsia="方正小标宋简体" w:cs="宋体"/>
          <w:bCs/>
          <w:kern w:val="0"/>
          <w:sz w:val="36"/>
          <w:szCs w:val="36"/>
        </w:rPr>
      </w:pPr>
      <w:r>
        <w:rPr>
          <w:rFonts w:hint="eastAsia" w:ascii="方正小标宋简体" w:hAnsi="宋体" w:eastAsia="方正小标宋简体"/>
          <w:sz w:val="36"/>
          <w:szCs w:val="36"/>
        </w:rPr>
        <w:t xml:space="preserve">  那曲市第三小学</w:t>
      </w:r>
      <w:r>
        <w:rPr>
          <w:rFonts w:hint="eastAsia" w:ascii="方正小标宋简体" w:hAnsi="宋体" w:eastAsia="方正小标宋简体" w:cs="宋体"/>
          <w:bCs/>
          <w:kern w:val="0"/>
          <w:sz w:val="36"/>
          <w:szCs w:val="36"/>
        </w:rPr>
        <w:t>2025年“三公”经费情况表</w:t>
      </w:r>
    </w:p>
    <w:p>
      <w:pPr>
        <w:adjustRightInd w:val="0"/>
        <w:snapToGrid w:val="0"/>
        <w:spacing w:line="600" w:lineRule="exact"/>
        <w:ind w:right="120"/>
        <w:jc w:val="right"/>
        <w:rPr>
          <w:rFonts w:ascii="宋体" w:hAnsi="宋体"/>
          <w:sz w:val="28"/>
          <w:szCs w:val="28"/>
        </w:rPr>
      </w:pPr>
      <w:r>
        <w:rPr>
          <w:rFonts w:hint="eastAsia" w:ascii="宋体" w:hAnsi="宋体" w:cs="宋体"/>
          <w:kern w:val="0"/>
          <w:sz w:val="28"/>
          <w:szCs w:val="28"/>
        </w:rPr>
        <w:t>单位：万元</w:t>
      </w:r>
    </w:p>
    <w:tbl>
      <w:tblPr>
        <w:tblStyle w:val="7"/>
        <w:tblW w:w="929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14"/>
        <w:gridCol w:w="1853"/>
        <w:gridCol w:w="1418"/>
        <w:gridCol w:w="1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3" w:hRule="exact"/>
          <w:jc w:val="center"/>
        </w:trPr>
        <w:tc>
          <w:tcPr>
            <w:tcW w:w="4314" w:type="dxa"/>
          </w:tcPr>
          <w:p>
            <w:pPr>
              <w:widowControl/>
              <w:adjustRightInd w:val="0"/>
              <w:snapToGrid w:val="0"/>
              <w:spacing w:line="600" w:lineRule="exact"/>
              <w:jc w:val="center"/>
              <w:rPr>
                <w:rFonts w:ascii="仿宋_GB2312" w:hAnsi="宋体" w:eastAsia="仿宋_GB2312" w:cs="宋体"/>
                <w:b/>
                <w:kern w:val="0"/>
                <w:sz w:val="24"/>
              </w:rPr>
            </w:pPr>
            <w:r>
              <w:rPr>
                <w:rFonts w:hint="eastAsia" w:ascii="仿宋_GB2312" w:hAnsi="宋体" w:eastAsia="仿宋_GB2312" w:cs="宋体"/>
                <w:b/>
                <w:kern w:val="0"/>
                <w:sz w:val="24"/>
              </w:rPr>
              <w:t>项  目</w:t>
            </w:r>
          </w:p>
        </w:tc>
        <w:tc>
          <w:tcPr>
            <w:tcW w:w="1853" w:type="dxa"/>
          </w:tcPr>
          <w:p>
            <w:pPr>
              <w:widowControl/>
              <w:adjustRightInd w:val="0"/>
              <w:snapToGrid w:val="0"/>
              <w:spacing w:line="600" w:lineRule="exact"/>
              <w:jc w:val="center"/>
              <w:rPr>
                <w:rFonts w:ascii="仿宋_GB2312" w:hAnsi="宋体" w:eastAsia="仿宋_GB2312" w:cs="宋体"/>
                <w:b/>
                <w:kern w:val="0"/>
                <w:sz w:val="24"/>
              </w:rPr>
            </w:pPr>
            <w:r>
              <w:rPr>
                <w:rFonts w:hint="eastAsia" w:ascii="仿宋_GB2312" w:hAnsi="宋体" w:eastAsia="仿宋_GB2312" w:cs="宋体"/>
                <w:b/>
                <w:kern w:val="0"/>
                <w:sz w:val="24"/>
              </w:rPr>
              <w:t>预算数</w:t>
            </w:r>
          </w:p>
        </w:tc>
        <w:tc>
          <w:tcPr>
            <w:tcW w:w="1418" w:type="dxa"/>
          </w:tcPr>
          <w:p>
            <w:pPr>
              <w:widowControl/>
              <w:adjustRightInd w:val="0"/>
              <w:snapToGrid w:val="0"/>
              <w:spacing w:line="600" w:lineRule="exact"/>
              <w:jc w:val="center"/>
              <w:rPr>
                <w:rFonts w:ascii="仿宋_GB2312" w:hAnsi="宋体" w:eastAsia="仿宋_GB2312" w:cs="宋体"/>
                <w:b/>
                <w:kern w:val="0"/>
                <w:sz w:val="24"/>
              </w:rPr>
            </w:pPr>
            <w:r>
              <w:rPr>
                <w:rFonts w:hint="eastAsia" w:ascii="仿宋_GB2312" w:hAnsi="宋体" w:eastAsia="仿宋_GB2312" w:cs="宋体"/>
                <w:b/>
                <w:kern w:val="0"/>
                <w:sz w:val="24"/>
              </w:rPr>
              <w:t>决算数</w:t>
            </w:r>
          </w:p>
        </w:tc>
        <w:tc>
          <w:tcPr>
            <w:tcW w:w="1714" w:type="dxa"/>
          </w:tcPr>
          <w:p>
            <w:pPr>
              <w:widowControl/>
              <w:adjustRightInd w:val="0"/>
              <w:snapToGrid w:val="0"/>
              <w:spacing w:line="600" w:lineRule="exact"/>
              <w:jc w:val="center"/>
              <w:rPr>
                <w:rFonts w:ascii="仿宋_GB2312" w:hAnsi="宋体" w:eastAsia="仿宋_GB2312" w:cs="宋体"/>
                <w:b/>
                <w:kern w:val="0"/>
                <w:sz w:val="24"/>
              </w:rPr>
            </w:pPr>
            <w:r>
              <w:rPr>
                <w:rFonts w:hint="eastAsia" w:ascii="仿宋_GB2312" w:hAnsi="宋体" w:eastAsia="仿宋_GB2312" w:cs="宋体"/>
                <w:b/>
                <w:kern w:val="0"/>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1" w:hRule="exact"/>
          <w:jc w:val="center"/>
        </w:trPr>
        <w:tc>
          <w:tcPr>
            <w:tcW w:w="4314" w:type="dxa"/>
          </w:tcPr>
          <w:p>
            <w:pPr>
              <w:widowControl/>
              <w:adjustRightInd w:val="0"/>
              <w:snapToGrid w:val="0"/>
              <w:spacing w:line="600" w:lineRule="exact"/>
              <w:jc w:val="center"/>
              <w:rPr>
                <w:rFonts w:ascii="仿宋_GB2312" w:hAnsi="宋体" w:eastAsia="仿宋_GB2312" w:cs="宋体"/>
                <w:kern w:val="0"/>
                <w:sz w:val="24"/>
              </w:rPr>
            </w:pPr>
            <w:r>
              <w:rPr>
                <w:rFonts w:hint="eastAsia" w:ascii="仿宋_GB2312" w:hAnsi="宋体" w:eastAsia="仿宋_GB2312" w:cs="宋体"/>
                <w:kern w:val="0"/>
                <w:sz w:val="24"/>
              </w:rPr>
              <w:t>合  计</w:t>
            </w:r>
          </w:p>
        </w:tc>
        <w:tc>
          <w:tcPr>
            <w:tcW w:w="1853" w:type="dxa"/>
          </w:tcPr>
          <w:p>
            <w:pPr>
              <w:widowControl/>
              <w:adjustRightInd w:val="0"/>
              <w:snapToGrid w:val="0"/>
              <w:spacing w:line="600" w:lineRule="exact"/>
              <w:jc w:val="center"/>
              <w:rPr>
                <w:rFonts w:ascii="仿宋_GB2312" w:hAnsi="宋体" w:eastAsia="仿宋_GB2312" w:cs="宋体"/>
                <w:kern w:val="0"/>
                <w:sz w:val="24"/>
              </w:rPr>
            </w:pPr>
            <w:r>
              <w:rPr>
                <w:rFonts w:hint="eastAsia" w:ascii="仿宋_GB2312" w:hAnsi="宋体" w:eastAsia="仿宋_GB2312" w:cs="宋体"/>
                <w:kern w:val="0"/>
                <w:sz w:val="24"/>
              </w:rPr>
              <w:t>0.52</w:t>
            </w:r>
          </w:p>
        </w:tc>
        <w:tc>
          <w:tcPr>
            <w:tcW w:w="1418" w:type="dxa"/>
          </w:tcPr>
          <w:p>
            <w:pPr>
              <w:widowControl/>
              <w:adjustRightInd w:val="0"/>
              <w:snapToGrid w:val="0"/>
              <w:spacing w:line="600" w:lineRule="exact"/>
              <w:jc w:val="center"/>
              <w:rPr>
                <w:rFonts w:ascii="仿宋_GB2312" w:hAnsi="宋体" w:eastAsia="仿宋_GB2312" w:cs="宋体"/>
                <w:kern w:val="0"/>
                <w:sz w:val="24"/>
              </w:rPr>
            </w:pPr>
            <w:r>
              <w:rPr>
                <w:rFonts w:hint="eastAsia" w:ascii="仿宋_GB2312" w:hAnsi="宋体" w:eastAsia="仿宋_GB2312" w:cs="宋体"/>
                <w:kern w:val="0"/>
                <w:sz w:val="24"/>
              </w:rPr>
              <w:t>0.52</w:t>
            </w:r>
          </w:p>
        </w:tc>
        <w:tc>
          <w:tcPr>
            <w:tcW w:w="1714" w:type="dxa"/>
          </w:tcPr>
          <w:p>
            <w:pPr>
              <w:widowControl/>
              <w:adjustRightInd w:val="0"/>
              <w:snapToGrid w:val="0"/>
              <w:spacing w:line="600" w:lineRule="exact"/>
              <w:jc w:val="center"/>
              <w:rPr>
                <w:rFonts w:ascii="仿宋_GB2312" w:hAnsi="宋体"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3" w:hRule="exact"/>
          <w:jc w:val="center"/>
        </w:trPr>
        <w:tc>
          <w:tcPr>
            <w:tcW w:w="4314" w:type="dxa"/>
          </w:tcPr>
          <w:p>
            <w:pPr>
              <w:widowControl/>
              <w:adjustRightInd w:val="0"/>
              <w:snapToGrid w:val="0"/>
              <w:spacing w:line="600" w:lineRule="exact"/>
              <w:ind w:firstLine="602" w:firstLineChars="250"/>
              <w:jc w:val="center"/>
              <w:rPr>
                <w:rFonts w:ascii="仿宋_GB2312" w:hAnsi="宋体" w:eastAsia="仿宋_GB2312" w:cs="宋体"/>
                <w:b/>
                <w:kern w:val="0"/>
                <w:sz w:val="24"/>
              </w:rPr>
            </w:pPr>
            <w:r>
              <w:rPr>
                <w:rFonts w:hint="eastAsia" w:ascii="仿宋_GB2312" w:hAnsi="宋体" w:eastAsia="仿宋_GB2312" w:cs="宋体"/>
                <w:b/>
                <w:kern w:val="0"/>
                <w:sz w:val="24"/>
              </w:rPr>
              <w:t>1.因公出国（境）费</w:t>
            </w:r>
          </w:p>
        </w:tc>
        <w:tc>
          <w:tcPr>
            <w:tcW w:w="1853" w:type="dxa"/>
          </w:tcPr>
          <w:p>
            <w:pPr>
              <w:widowControl/>
              <w:adjustRightInd w:val="0"/>
              <w:snapToGrid w:val="0"/>
              <w:spacing w:line="600" w:lineRule="exact"/>
              <w:jc w:val="center"/>
              <w:rPr>
                <w:rFonts w:ascii="仿宋_GB2312" w:hAnsi="宋体" w:eastAsia="仿宋_GB2312" w:cs="宋体"/>
                <w:kern w:val="0"/>
                <w:sz w:val="24"/>
              </w:rPr>
            </w:pPr>
          </w:p>
        </w:tc>
        <w:tc>
          <w:tcPr>
            <w:tcW w:w="1418" w:type="dxa"/>
          </w:tcPr>
          <w:p>
            <w:pPr>
              <w:widowControl/>
              <w:adjustRightInd w:val="0"/>
              <w:snapToGrid w:val="0"/>
              <w:spacing w:line="600" w:lineRule="exact"/>
              <w:jc w:val="center"/>
              <w:rPr>
                <w:rFonts w:ascii="仿宋_GB2312" w:hAnsi="宋体" w:eastAsia="仿宋_GB2312" w:cs="宋体"/>
                <w:kern w:val="0"/>
                <w:sz w:val="24"/>
              </w:rPr>
            </w:pPr>
          </w:p>
        </w:tc>
        <w:tc>
          <w:tcPr>
            <w:tcW w:w="1714" w:type="dxa"/>
          </w:tcPr>
          <w:p>
            <w:pPr>
              <w:widowControl/>
              <w:adjustRightInd w:val="0"/>
              <w:snapToGrid w:val="0"/>
              <w:spacing w:line="600" w:lineRule="exact"/>
              <w:jc w:val="center"/>
              <w:rPr>
                <w:rFonts w:ascii="仿宋_GB2312" w:hAnsi="宋体"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3" w:hRule="exact"/>
          <w:jc w:val="center"/>
        </w:trPr>
        <w:tc>
          <w:tcPr>
            <w:tcW w:w="4314" w:type="dxa"/>
          </w:tcPr>
          <w:p>
            <w:pPr>
              <w:widowControl/>
              <w:adjustRightInd w:val="0"/>
              <w:snapToGrid w:val="0"/>
              <w:spacing w:line="600" w:lineRule="exact"/>
              <w:jc w:val="center"/>
              <w:rPr>
                <w:rFonts w:ascii="仿宋_GB2312" w:hAnsi="宋体" w:eastAsia="仿宋_GB2312" w:cs="宋体"/>
                <w:kern w:val="0"/>
                <w:sz w:val="24"/>
              </w:rPr>
            </w:pPr>
            <w:r>
              <w:rPr>
                <w:rFonts w:hint="eastAsia" w:ascii="仿宋_GB2312" w:hAnsi="宋体" w:eastAsia="仿宋_GB2312" w:cs="宋体"/>
                <w:kern w:val="0"/>
                <w:sz w:val="24"/>
              </w:rPr>
              <w:t>其中：（1）</w:t>
            </w:r>
            <w:r>
              <w:rPr>
                <w:rFonts w:hint="eastAsia" w:ascii="仿宋_GB2312" w:hAnsi="仿宋" w:eastAsia="仿宋_GB2312"/>
                <w:sz w:val="24"/>
              </w:rPr>
              <w:t>因公出国（境）团组数</w:t>
            </w:r>
          </w:p>
        </w:tc>
        <w:tc>
          <w:tcPr>
            <w:tcW w:w="1853" w:type="dxa"/>
          </w:tcPr>
          <w:p>
            <w:pPr>
              <w:widowControl/>
              <w:adjustRightInd w:val="0"/>
              <w:snapToGrid w:val="0"/>
              <w:spacing w:line="600" w:lineRule="exact"/>
              <w:jc w:val="center"/>
              <w:rPr>
                <w:rFonts w:ascii="仿宋_GB2312" w:hAnsi="宋体" w:eastAsia="仿宋_GB2312" w:cs="宋体"/>
                <w:kern w:val="0"/>
                <w:sz w:val="24"/>
              </w:rPr>
            </w:pPr>
          </w:p>
        </w:tc>
        <w:tc>
          <w:tcPr>
            <w:tcW w:w="1418" w:type="dxa"/>
          </w:tcPr>
          <w:p>
            <w:pPr>
              <w:widowControl/>
              <w:adjustRightInd w:val="0"/>
              <w:snapToGrid w:val="0"/>
              <w:spacing w:line="600" w:lineRule="exact"/>
              <w:jc w:val="center"/>
              <w:rPr>
                <w:rFonts w:ascii="仿宋_GB2312" w:hAnsi="宋体" w:eastAsia="仿宋_GB2312" w:cs="宋体"/>
                <w:kern w:val="0"/>
                <w:sz w:val="24"/>
              </w:rPr>
            </w:pPr>
          </w:p>
        </w:tc>
        <w:tc>
          <w:tcPr>
            <w:tcW w:w="1714" w:type="dxa"/>
          </w:tcPr>
          <w:p>
            <w:pPr>
              <w:widowControl/>
              <w:adjustRightInd w:val="0"/>
              <w:snapToGrid w:val="0"/>
              <w:spacing w:line="600" w:lineRule="exact"/>
              <w:jc w:val="center"/>
              <w:rPr>
                <w:rFonts w:ascii="仿宋_GB2312" w:hAnsi="宋体"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3" w:hRule="exact"/>
          <w:jc w:val="center"/>
        </w:trPr>
        <w:tc>
          <w:tcPr>
            <w:tcW w:w="4314" w:type="dxa"/>
          </w:tcPr>
          <w:p>
            <w:pPr>
              <w:widowControl/>
              <w:adjustRightInd w:val="0"/>
              <w:snapToGrid w:val="0"/>
              <w:spacing w:line="600" w:lineRule="exact"/>
              <w:jc w:val="center"/>
              <w:rPr>
                <w:rFonts w:ascii="仿宋_GB2312" w:hAnsi="仿宋" w:eastAsia="仿宋_GB2312"/>
                <w:sz w:val="24"/>
              </w:rPr>
            </w:pPr>
            <w:r>
              <w:rPr>
                <w:rFonts w:hint="eastAsia" w:ascii="仿宋_GB2312" w:hAnsi="宋体" w:eastAsia="仿宋_GB2312" w:cs="宋体"/>
                <w:kern w:val="0"/>
                <w:sz w:val="24"/>
              </w:rPr>
              <w:t>（2）</w:t>
            </w:r>
            <w:r>
              <w:rPr>
                <w:rFonts w:hint="eastAsia" w:ascii="仿宋_GB2312" w:hAnsi="仿宋" w:eastAsia="仿宋_GB2312"/>
                <w:sz w:val="24"/>
              </w:rPr>
              <w:t>因公出国（境）团人数</w:t>
            </w:r>
          </w:p>
        </w:tc>
        <w:tc>
          <w:tcPr>
            <w:tcW w:w="1853" w:type="dxa"/>
          </w:tcPr>
          <w:p>
            <w:pPr>
              <w:widowControl/>
              <w:adjustRightInd w:val="0"/>
              <w:snapToGrid w:val="0"/>
              <w:spacing w:line="600" w:lineRule="exact"/>
              <w:jc w:val="center"/>
              <w:rPr>
                <w:rFonts w:ascii="仿宋_GB2312" w:hAnsi="宋体" w:eastAsia="仿宋_GB2312" w:cs="宋体"/>
                <w:kern w:val="0"/>
                <w:sz w:val="24"/>
              </w:rPr>
            </w:pPr>
          </w:p>
        </w:tc>
        <w:tc>
          <w:tcPr>
            <w:tcW w:w="1418" w:type="dxa"/>
          </w:tcPr>
          <w:p>
            <w:pPr>
              <w:widowControl/>
              <w:adjustRightInd w:val="0"/>
              <w:snapToGrid w:val="0"/>
              <w:spacing w:line="600" w:lineRule="exact"/>
              <w:jc w:val="center"/>
              <w:rPr>
                <w:rFonts w:ascii="仿宋_GB2312" w:hAnsi="宋体" w:eastAsia="仿宋_GB2312" w:cs="宋体"/>
                <w:kern w:val="0"/>
                <w:sz w:val="24"/>
              </w:rPr>
            </w:pPr>
          </w:p>
        </w:tc>
        <w:tc>
          <w:tcPr>
            <w:tcW w:w="1714" w:type="dxa"/>
          </w:tcPr>
          <w:p>
            <w:pPr>
              <w:widowControl/>
              <w:adjustRightInd w:val="0"/>
              <w:snapToGrid w:val="0"/>
              <w:spacing w:line="600" w:lineRule="exact"/>
              <w:jc w:val="center"/>
              <w:rPr>
                <w:rFonts w:ascii="仿宋_GB2312" w:hAnsi="宋体"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3" w:hRule="exact"/>
          <w:jc w:val="center"/>
        </w:trPr>
        <w:tc>
          <w:tcPr>
            <w:tcW w:w="4314" w:type="dxa"/>
          </w:tcPr>
          <w:p>
            <w:pPr>
              <w:widowControl/>
              <w:adjustRightInd w:val="0"/>
              <w:snapToGrid w:val="0"/>
              <w:spacing w:line="600" w:lineRule="exact"/>
              <w:ind w:firstLine="1205" w:firstLineChars="500"/>
              <w:jc w:val="center"/>
              <w:rPr>
                <w:rFonts w:ascii="仿宋_GB2312" w:hAnsi="宋体" w:eastAsia="仿宋_GB2312" w:cs="宋体"/>
                <w:b/>
                <w:kern w:val="0"/>
                <w:sz w:val="24"/>
              </w:rPr>
            </w:pPr>
            <w:r>
              <w:rPr>
                <w:rFonts w:hint="eastAsia" w:ascii="仿宋_GB2312" w:hAnsi="宋体" w:eastAsia="仿宋_GB2312" w:cs="宋体"/>
                <w:b/>
                <w:kern w:val="0"/>
                <w:sz w:val="24"/>
              </w:rPr>
              <w:t>2.公务接待费</w:t>
            </w:r>
          </w:p>
        </w:tc>
        <w:tc>
          <w:tcPr>
            <w:tcW w:w="1853" w:type="dxa"/>
          </w:tcPr>
          <w:p>
            <w:pPr>
              <w:widowControl/>
              <w:adjustRightInd w:val="0"/>
              <w:snapToGrid w:val="0"/>
              <w:spacing w:line="600" w:lineRule="exact"/>
              <w:jc w:val="center"/>
              <w:rPr>
                <w:rFonts w:ascii="仿宋_GB2312" w:hAnsi="宋体" w:eastAsia="仿宋_GB2312" w:cs="宋体"/>
                <w:kern w:val="0"/>
                <w:sz w:val="24"/>
              </w:rPr>
            </w:pPr>
          </w:p>
        </w:tc>
        <w:tc>
          <w:tcPr>
            <w:tcW w:w="1418" w:type="dxa"/>
          </w:tcPr>
          <w:p>
            <w:pPr>
              <w:widowControl/>
              <w:adjustRightInd w:val="0"/>
              <w:snapToGrid w:val="0"/>
              <w:spacing w:line="600" w:lineRule="exact"/>
              <w:jc w:val="center"/>
              <w:rPr>
                <w:rFonts w:ascii="仿宋_GB2312" w:hAnsi="宋体" w:eastAsia="仿宋_GB2312" w:cs="宋体"/>
                <w:kern w:val="0"/>
                <w:sz w:val="24"/>
              </w:rPr>
            </w:pPr>
          </w:p>
        </w:tc>
        <w:tc>
          <w:tcPr>
            <w:tcW w:w="1714" w:type="dxa"/>
          </w:tcPr>
          <w:p>
            <w:pPr>
              <w:widowControl/>
              <w:adjustRightInd w:val="0"/>
              <w:snapToGrid w:val="0"/>
              <w:spacing w:line="600" w:lineRule="exact"/>
              <w:jc w:val="center"/>
              <w:rPr>
                <w:rFonts w:ascii="仿宋_GB2312" w:hAnsi="宋体"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3" w:hRule="exact"/>
          <w:jc w:val="center"/>
        </w:trPr>
        <w:tc>
          <w:tcPr>
            <w:tcW w:w="4314" w:type="dxa"/>
          </w:tcPr>
          <w:p>
            <w:pPr>
              <w:widowControl/>
              <w:adjustRightInd w:val="0"/>
              <w:snapToGrid w:val="0"/>
              <w:spacing w:line="600" w:lineRule="exact"/>
              <w:ind w:firstLine="240" w:firstLineChars="100"/>
              <w:jc w:val="center"/>
              <w:rPr>
                <w:rFonts w:ascii="仿宋_GB2312" w:hAnsi="宋体" w:eastAsia="仿宋_GB2312" w:cs="宋体"/>
                <w:kern w:val="0"/>
                <w:sz w:val="24"/>
              </w:rPr>
            </w:pPr>
            <w:r>
              <w:rPr>
                <w:rFonts w:hint="eastAsia" w:ascii="仿宋_GB2312" w:hAnsi="宋体" w:eastAsia="仿宋_GB2312" w:cs="宋体"/>
                <w:kern w:val="0"/>
                <w:sz w:val="24"/>
              </w:rPr>
              <w:t>其中：（1）</w:t>
            </w:r>
            <w:r>
              <w:rPr>
                <w:rFonts w:hint="eastAsia" w:ascii="仿宋_GB2312" w:hAnsi="仿宋" w:eastAsia="仿宋_GB2312"/>
                <w:sz w:val="24"/>
              </w:rPr>
              <w:t>公务接待的批次</w:t>
            </w:r>
          </w:p>
        </w:tc>
        <w:tc>
          <w:tcPr>
            <w:tcW w:w="1853" w:type="dxa"/>
          </w:tcPr>
          <w:p>
            <w:pPr>
              <w:widowControl/>
              <w:adjustRightInd w:val="0"/>
              <w:snapToGrid w:val="0"/>
              <w:spacing w:line="600" w:lineRule="exact"/>
              <w:jc w:val="center"/>
              <w:rPr>
                <w:rFonts w:ascii="仿宋_GB2312" w:hAnsi="宋体" w:eastAsia="仿宋_GB2312" w:cs="宋体"/>
                <w:kern w:val="0"/>
                <w:sz w:val="24"/>
              </w:rPr>
            </w:pPr>
          </w:p>
        </w:tc>
        <w:tc>
          <w:tcPr>
            <w:tcW w:w="1418" w:type="dxa"/>
          </w:tcPr>
          <w:p>
            <w:pPr>
              <w:widowControl/>
              <w:adjustRightInd w:val="0"/>
              <w:snapToGrid w:val="0"/>
              <w:spacing w:line="600" w:lineRule="exact"/>
              <w:jc w:val="center"/>
              <w:rPr>
                <w:rFonts w:ascii="仿宋_GB2312" w:hAnsi="宋体" w:eastAsia="仿宋_GB2312" w:cs="宋体"/>
                <w:kern w:val="0"/>
                <w:sz w:val="24"/>
              </w:rPr>
            </w:pPr>
          </w:p>
        </w:tc>
        <w:tc>
          <w:tcPr>
            <w:tcW w:w="1714" w:type="dxa"/>
          </w:tcPr>
          <w:p>
            <w:pPr>
              <w:widowControl/>
              <w:adjustRightInd w:val="0"/>
              <w:snapToGrid w:val="0"/>
              <w:spacing w:line="600" w:lineRule="exact"/>
              <w:jc w:val="center"/>
              <w:rPr>
                <w:rFonts w:ascii="仿宋_GB2312" w:hAnsi="宋体"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exact"/>
          <w:jc w:val="center"/>
        </w:trPr>
        <w:tc>
          <w:tcPr>
            <w:tcW w:w="4314" w:type="dxa"/>
          </w:tcPr>
          <w:p>
            <w:pPr>
              <w:widowControl/>
              <w:adjustRightInd w:val="0"/>
              <w:snapToGrid w:val="0"/>
              <w:spacing w:line="600" w:lineRule="exact"/>
              <w:jc w:val="center"/>
              <w:rPr>
                <w:rFonts w:ascii="仿宋_GB2312" w:hAnsi="仿宋" w:eastAsia="仿宋_GB2312"/>
                <w:sz w:val="24"/>
              </w:rPr>
            </w:pPr>
            <w:r>
              <w:rPr>
                <w:rFonts w:hint="eastAsia" w:ascii="仿宋_GB2312" w:hAnsi="宋体" w:eastAsia="仿宋_GB2312" w:cs="宋体"/>
                <w:kern w:val="0"/>
                <w:sz w:val="24"/>
              </w:rPr>
              <w:t>（2）</w:t>
            </w:r>
            <w:r>
              <w:rPr>
                <w:rFonts w:hint="eastAsia" w:ascii="仿宋_GB2312" w:hAnsi="仿宋" w:eastAsia="仿宋_GB2312"/>
                <w:sz w:val="24"/>
              </w:rPr>
              <w:t>公务接待的人数</w:t>
            </w:r>
          </w:p>
        </w:tc>
        <w:tc>
          <w:tcPr>
            <w:tcW w:w="1853" w:type="dxa"/>
          </w:tcPr>
          <w:p>
            <w:pPr>
              <w:widowControl/>
              <w:adjustRightInd w:val="0"/>
              <w:snapToGrid w:val="0"/>
              <w:spacing w:line="600" w:lineRule="exact"/>
              <w:jc w:val="center"/>
              <w:rPr>
                <w:rFonts w:ascii="仿宋_GB2312" w:hAnsi="宋体" w:eastAsia="仿宋_GB2312" w:cs="宋体"/>
                <w:kern w:val="0"/>
                <w:sz w:val="24"/>
              </w:rPr>
            </w:pPr>
          </w:p>
        </w:tc>
        <w:tc>
          <w:tcPr>
            <w:tcW w:w="1418" w:type="dxa"/>
          </w:tcPr>
          <w:p>
            <w:pPr>
              <w:widowControl/>
              <w:adjustRightInd w:val="0"/>
              <w:snapToGrid w:val="0"/>
              <w:spacing w:line="600" w:lineRule="exact"/>
              <w:jc w:val="center"/>
              <w:rPr>
                <w:rFonts w:ascii="仿宋_GB2312" w:hAnsi="宋体" w:eastAsia="仿宋_GB2312" w:cs="宋体"/>
                <w:kern w:val="0"/>
                <w:sz w:val="24"/>
              </w:rPr>
            </w:pPr>
          </w:p>
        </w:tc>
        <w:tc>
          <w:tcPr>
            <w:tcW w:w="1714" w:type="dxa"/>
          </w:tcPr>
          <w:p>
            <w:pPr>
              <w:widowControl/>
              <w:adjustRightInd w:val="0"/>
              <w:snapToGrid w:val="0"/>
              <w:spacing w:line="600" w:lineRule="exact"/>
              <w:jc w:val="center"/>
              <w:rPr>
                <w:rFonts w:ascii="仿宋_GB2312" w:hAnsi="宋体"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3" w:hRule="exact"/>
          <w:jc w:val="center"/>
        </w:trPr>
        <w:tc>
          <w:tcPr>
            <w:tcW w:w="4314" w:type="dxa"/>
          </w:tcPr>
          <w:p>
            <w:pPr>
              <w:widowControl/>
              <w:adjustRightInd w:val="0"/>
              <w:snapToGrid w:val="0"/>
              <w:spacing w:line="600" w:lineRule="exact"/>
              <w:ind w:firstLine="602" w:firstLineChars="250"/>
              <w:jc w:val="center"/>
              <w:rPr>
                <w:rFonts w:ascii="仿宋_GB2312" w:hAnsi="宋体" w:eastAsia="仿宋_GB2312" w:cs="宋体"/>
                <w:b/>
                <w:kern w:val="0"/>
                <w:sz w:val="24"/>
              </w:rPr>
            </w:pPr>
            <w:r>
              <w:rPr>
                <w:rFonts w:hint="eastAsia" w:ascii="仿宋_GB2312" w:hAnsi="宋体" w:eastAsia="仿宋_GB2312" w:cs="宋体"/>
                <w:b/>
                <w:kern w:val="0"/>
                <w:sz w:val="24"/>
              </w:rPr>
              <w:t>3.公务用车经费</w:t>
            </w:r>
          </w:p>
        </w:tc>
        <w:tc>
          <w:tcPr>
            <w:tcW w:w="1853" w:type="dxa"/>
          </w:tcPr>
          <w:p>
            <w:pPr>
              <w:widowControl/>
              <w:adjustRightInd w:val="0"/>
              <w:snapToGrid w:val="0"/>
              <w:spacing w:line="600" w:lineRule="exact"/>
              <w:jc w:val="center"/>
              <w:rPr>
                <w:rFonts w:ascii="仿宋_GB2312" w:hAnsi="宋体" w:eastAsia="仿宋_GB2312" w:cs="宋体"/>
                <w:kern w:val="0"/>
                <w:sz w:val="24"/>
              </w:rPr>
            </w:pPr>
          </w:p>
        </w:tc>
        <w:tc>
          <w:tcPr>
            <w:tcW w:w="1418" w:type="dxa"/>
          </w:tcPr>
          <w:p>
            <w:pPr>
              <w:widowControl/>
              <w:adjustRightInd w:val="0"/>
              <w:snapToGrid w:val="0"/>
              <w:spacing w:line="600" w:lineRule="exact"/>
              <w:jc w:val="center"/>
              <w:rPr>
                <w:rFonts w:ascii="仿宋_GB2312" w:hAnsi="宋体" w:eastAsia="仿宋_GB2312" w:cs="宋体"/>
                <w:kern w:val="0"/>
                <w:sz w:val="24"/>
              </w:rPr>
            </w:pPr>
          </w:p>
        </w:tc>
        <w:tc>
          <w:tcPr>
            <w:tcW w:w="1714" w:type="dxa"/>
          </w:tcPr>
          <w:p>
            <w:pPr>
              <w:widowControl/>
              <w:adjustRightInd w:val="0"/>
              <w:snapToGrid w:val="0"/>
              <w:spacing w:line="600" w:lineRule="exact"/>
              <w:jc w:val="center"/>
              <w:rPr>
                <w:rFonts w:ascii="仿宋_GB2312" w:hAnsi="宋体"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3" w:hRule="exact"/>
          <w:jc w:val="center"/>
        </w:trPr>
        <w:tc>
          <w:tcPr>
            <w:tcW w:w="4314" w:type="dxa"/>
          </w:tcPr>
          <w:p>
            <w:pPr>
              <w:widowControl/>
              <w:adjustRightInd w:val="0"/>
              <w:snapToGrid w:val="0"/>
              <w:spacing w:line="600" w:lineRule="exact"/>
              <w:jc w:val="center"/>
              <w:rPr>
                <w:rFonts w:ascii="仿宋_GB2312" w:hAnsi="宋体" w:eastAsia="仿宋_GB2312" w:cs="宋体"/>
                <w:kern w:val="0"/>
                <w:sz w:val="24"/>
              </w:rPr>
            </w:pPr>
            <w:r>
              <w:rPr>
                <w:rFonts w:hint="eastAsia" w:ascii="仿宋_GB2312" w:hAnsi="宋体" w:eastAsia="仿宋_GB2312" w:cs="宋体"/>
                <w:kern w:val="0"/>
                <w:sz w:val="24"/>
              </w:rPr>
              <w:t>其中：（1）公务用车运行维护费</w:t>
            </w:r>
          </w:p>
        </w:tc>
        <w:tc>
          <w:tcPr>
            <w:tcW w:w="1853" w:type="dxa"/>
          </w:tcPr>
          <w:p>
            <w:pPr>
              <w:widowControl/>
              <w:adjustRightInd w:val="0"/>
              <w:snapToGrid w:val="0"/>
              <w:spacing w:line="600" w:lineRule="exact"/>
              <w:jc w:val="center"/>
              <w:rPr>
                <w:rFonts w:ascii="仿宋_GB2312" w:hAnsi="宋体" w:eastAsia="仿宋_GB2312" w:cs="宋体"/>
                <w:kern w:val="0"/>
                <w:sz w:val="24"/>
              </w:rPr>
            </w:pPr>
            <w:r>
              <w:rPr>
                <w:rFonts w:hint="eastAsia" w:ascii="仿宋_GB2312" w:hAnsi="宋体" w:eastAsia="仿宋_GB2312" w:cs="宋体"/>
                <w:kern w:val="0"/>
                <w:sz w:val="24"/>
              </w:rPr>
              <w:t>0.52</w:t>
            </w:r>
          </w:p>
        </w:tc>
        <w:tc>
          <w:tcPr>
            <w:tcW w:w="1418" w:type="dxa"/>
          </w:tcPr>
          <w:p>
            <w:pPr>
              <w:widowControl/>
              <w:tabs>
                <w:tab w:val="left" w:pos="345"/>
                <w:tab w:val="center" w:pos="601"/>
              </w:tabs>
              <w:adjustRightInd w:val="0"/>
              <w:snapToGrid w:val="0"/>
              <w:spacing w:line="600" w:lineRule="exact"/>
              <w:jc w:val="left"/>
              <w:rPr>
                <w:rFonts w:ascii="仿宋_GB2312" w:hAnsi="宋体" w:eastAsia="仿宋_GB2312" w:cs="宋体"/>
                <w:kern w:val="0"/>
                <w:sz w:val="24"/>
              </w:rPr>
            </w:pPr>
            <w:r>
              <w:rPr>
                <w:rFonts w:hint="eastAsia" w:ascii="仿宋_GB2312" w:hAnsi="宋体" w:eastAsia="仿宋_GB2312" w:cs="宋体"/>
                <w:kern w:val="0"/>
                <w:sz w:val="24"/>
              </w:rPr>
              <w:t>0.52</w:t>
            </w:r>
          </w:p>
        </w:tc>
        <w:tc>
          <w:tcPr>
            <w:tcW w:w="1714" w:type="dxa"/>
          </w:tcPr>
          <w:p>
            <w:pPr>
              <w:widowControl/>
              <w:adjustRightInd w:val="0"/>
              <w:snapToGrid w:val="0"/>
              <w:spacing w:line="600" w:lineRule="exact"/>
              <w:jc w:val="center"/>
              <w:rPr>
                <w:rFonts w:ascii="仿宋_GB2312" w:hAnsi="宋体"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3" w:hRule="exact"/>
          <w:jc w:val="center"/>
        </w:trPr>
        <w:tc>
          <w:tcPr>
            <w:tcW w:w="4314" w:type="dxa"/>
          </w:tcPr>
          <w:p>
            <w:pPr>
              <w:widowControl/>
              <w:adjustRightInd w:val="0"/>
              <w:snapToGrid w:val="0"/>
              <w:spacing w:line="600" w:lineRule="exact"/>
              <w:jc w:val="center"/>
              <w:rPr>
                <w:rFonts w:ascii="仿宋_GB2312" w:hAnsi="宋体" w:eastAsia="仿宋_GB2312" w:cs="宋体"/>
                <w:kern w:val="0"/>
                <w:sz w:val="24"/>
              </w:rPr>
            </w:pPr>
            <w:r>
              <w:rPr>
                <w:rFonts w:hint="eastAsia" w:ascii="仿宋_GB2312" w:hAnsi="宋体" w:eastAsia="仿宋_GB2312" w:cs="宋体"/>
                <w:kern w:val="0"/>
                <w:sz w:val="24"/>
              </w:rPr>
              <w:t>（2）公务用车购置数</w:t>
            </w:r>
          </w:p>
        </w:tc>
        <w:tc>
          <w:tcPr>
            <w:tcW w:w="1853" w:type="dxa"/>
          </w:tcPr>
          <w:p>
            <w:pPr>
              <w:widowControl/>
              <w:adjustRightInd w:val="0"/>
              <w:snapToGrid w:val="0"/>
              <w:spacing w:line="600" w:lineRule="exact"/>
              <w:jc w:val="center"/>
              <w:rPr>
                <w:rFonts w:ascii="仿宋_GB2312" w:hAnsi="宋体" w:eastAsia="仿宋_GB2312" w:cs="宋体"/>
                <w:kern w:val="0"/>
                <w:sz w:val="24"/>
              </w:rPr>
            </w:pPr>
          </w:p>
        </w:tc>
        <w:tc>
          <w:tcPr>
            <w:tcW w:w="1418" w:type="dxa"/>
          </w:tcPr>
          <w:p>
            <w:pPr>
              <w:widowControl/>
              <w:adjustRightInd w:val="0"/>
              <w:snapToGrid w:val="0"/>
              <w:spacing w:line="600" w:lineRule="exact"/>
              <w:jc w:val="center"/>
              <w:rPr>
                <w:rFonts w:ascii="仿宋_GB2312" w:hAnsi="宋体" w:eastAsia="仿宋_GB2312" w:cs="宋体"/>
                <w:kern w:val="0"/>
                <w:sz w:val="24"/>
              </w:rPr>
            </w:pPr>
          </w:p>
        </w:tc>
        <w:tc>
          <w:tcPr>
            <w:tcW w:w="1714" w:type="dxa"/>
          </w:tcPr>
          <w:p>
            <w:pPr>
              <w:widowControl/>
              <w:adjustRightInd w:val="0"/>
              <w:snapToGrid w:val="0"/>
              <w:spacing w:line="600" w:lineRule="exact"/>
              <w:jc w:val="center"/>
              <w:rPr>
                <w:rFonts w:ascii="仿宋_GB2312" w:hAnsi="宋体"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3" w:hRule="exact"/>
          <w:jc w:val="center"/>
        </w:trPr>
        <w:tc>
          <w:tcPr>
            <w:tcW w:w="4314" w:type="dxa"/>
          </w:tcPr>
          <w:p>
            <w:pPr>
              <w:widowControl/>
              <w:adjustRightInd w:val="0"/>
              <w:snapToGrid w:val="0"/>
              <w:spacing w:line="600" w:lineRule="exact"/>
              <w:jc w:val="center"/>
              <w:rPr>
                <w:rFonts w:ascii="仿宋_GB2312" w:hAnsi="宋体" w:eastAsia="仿宋_GB2312" w:cs="宋体"/>
                <w:kern w:val="0"/>
                <w:sz w:val="24"/>
              </w:rPr>
            </w:pPr>
            <w:r>
              <w:rPr>
                <w:rFonts w:hint="eastAsia" w:ascii="仿宋_GB2312" w:hAnsi="宋体" w:eastAsia="仿宋_GB2312" w:cs="宋体"/>
                <w:kern w:val="0"/>
                <w:sz w:val="24"/>
              </w:rPr>
              <w:t>（3）公务用车保有量</w:t>
            </w:r>
          </w:p>
        </w:tc>
        <w:tc>
          <w:tcPr>
            <w:tcW w:w="1853" w:type="dxa"/>
          </w:tcPr>
          <w:p>
            <w:pPr>
              <w:widowControl/>
              <w:adjustRightInd w:val="0"/>
              <w:snapToGrid w:val="0"/>
              <w:spacing w:line="600" w:lineRule="exact"/>
              <w:jc w:val="center"/>
              <w:rPr>
                <w:rFonts w:ascii="仿宋_GB2312" w:hAnsi="宋体" w:eastAsia="仿宋_GB2312" w:cs="宋体"/>
                <w:kern w:val="0"/>
                <w:sz w:val="24"/>
              </w:rPr>
            </w:pPr>
          </w:p>
        </w:tc>
        <w:tc>
          <w:tcPr>
            <w:tcW w:w="1418" w:type="dxa"/>
          </w:tcPr>
          <w:p>
            <w:pPr>
              <w:widowControl/>
              <w:adjustRightInd w:val="0"/>
              <w:snapToGrid w:val="0"/>
              <w:spacing w:line="600" w:lineRule="exact"/>
              <w:jc w:val="center"/>
              <w:rPr>
                <w:rFonts w:ascii="仿宋_GB2312" w:hAnsi="宋体" w:eastAsia="仿宋_GB2312" w:cs="宋体"/>
                <w:kern w:val="0"/>
                <w:sz w:val="24"/>
              </w:rPr>
            </w:pPr>
          </w:p>
        </w:tc>
        <w:tc>
          <w:tcPr>
            <w:tcW w:w="1714" w:type="dxa"/>
          </w:tcPr>
          <w:p>
            <w:pPr>
              <w:widowControl/>
              <w:adjustRightInd w:val="0"/>
              <w:snapToGrid w:val="0"/>
              <w:spacing w:line="600" w:lineRule="exact"/>
              <w:jc w:val="center"/>
              <w:rPr>
                <w:rFonts w:ascii="仿宋_GB2312" w:hAnsi="宋体" w:eastAsia="仿宋_GB2312" w:cs="宋体"/>
                <w:kern w:val="0"/>
                <w:sz w:val="24"/>
              </w:rPr>
            </w:pPr>
          </w:p>
        </w:tc>
      </w:tr>
    </w:tbl>
    <w:p>
      <w:pPr>
        <w:adjustRightInd w:val="0"/>
        <w:snapToGrid w:val="0"/>
        <w:spacing w:line="600" w:lineRule="exact"/>
        <w:rPr>
          <w:rFonts w:hint="eastAsia" w:ascii="仿宋" w:hAnsi="仿宋" w:eastAsia="仿宋"/>
          <w:sz w:val="32"/>
          <w:szCs w:val="32"/>
        </w:rPr>
      </w:pPr>
      <w:r>
        <w:rPr>
          <w:rFonts w:hint="eastAsia" w:ascii="仿宋" w:hAnsi="仿宋" w:eastAsia="仿宋"/>
          <w:sz w:val="32"/>
          <w:szCs w:val="32"/>
        </w:rPr>
        <w:t>1.我单位“三公”经费包含公务用车运行维护费和接待费。没有出国经费的发生。2025年我单位公务用车1两，公务用车运行维护费为0.52万元同比2024年支出0.65万元，同比</w:t>
      </w:r>
      <w:bookmarkStart w:id="2" w:name="_GoBack"/>
      <w:bookmarkEnd w:id="2"/>
      <w:r>
        <w:rPr>
          <w:rFonts w:hint="eastAsia" w:ascii="仿宋" w:hAnsi="仿宋" w:eastAsia="仿宋"/>
          <w:sz w:val="32"/>
          <w:szCs w:val="32"/>
        </w:rPr>
        <w:t>支出减少0.13万元。</w:t>
      </w:r>
    </w:p>
    <w:p>
      <w:pPr>
        <w:adjustRightInd w:val="0"/>
        <w:snapToGrid w:val="0"/>
        <w:spacing w:line="600" w:lineRule="exact"/>
        <w:rPr>
          <w:rFonts w:ascii="仿宋" w:hAnsi="仿宋" w:eastAsia="仿宋"/>
          <w:sz w:val="32"/>
          <w:szCs w:val="32"/>
        </w:rPr>
      </w:pPr>
      <w:r>
        <w:rPr>
          <w:rFonts w:hint="eastAsia" w:ascii="仿宋" w:hAnsi="仿宋" w:eastAsia="仿宋"/>
          <w:sz w:val="32"/>
          <w:szCs w:val="32"/>
        </w:rPr>
        <w:t xml:space="preserve"> 2.我单位在2025年未因公出国（境）团组数及人数，也未购置公务用车，及未产生公务接待费。</w:t>
      </w:r>
    </w:p>
    <w:p>
      <w:pPr>
        <w:pStyle w:val="12"/>
        <w:framePr w:wrap="auto" w:vAnchor="margin" w:hAnchor="text" w:yAlign="inline"/>
        <w:rPr>
          <w:rFonts w:hint="default" w:ascii="黑体" w:hAnsi="宋体" w:eastAsia="黑体"/>
          <w:sz w:val="32"/>
          <w:szCs w:val="32"/>
        </w:rPr>
      </w:pPr>
      <w:r>
        <w:rPr>
          <w:rFonts w:ascii="黑体" w:hAnsi="宋体" w:eastAsia="黑体"/>
          <w:sz w:val="32"/>
          <w:szCs w:val="32"/>
        </w:rPr>
        <w:t xml:space="preserve"> </w:t>
      </w:r>
    </w:p>
    <w:p>
      <w:pPr>
        <w:adjustRightInd w:val="0"/>
        <w:snapToGrid w:val="0"/>
        <w:spacing w:line="600" w:lineRule="exact"/>
        <w:rPr>
          <w:rFonts w:ascii="仿宋" w:hAnsi="仿宋" w:eastAsia="仿宋"/>
          <w:b/>
          <w:sz w:val="32"/>
          <w:szCs w:val="32"/>
        </w:rPr>
      </w:pPr>
      <w:r>
        <w:rPr>
          <w:rFonts w:hint="eastAsia" w:ascii="仿宋" w:hAnsi="仿宋" w:eastAsia="仿宋"/>
          <w:b/>
          <w:sz w:val="32"/>
          <w:szCs w:val="32"/>
        </w:rPr>
        <w:t>八、政府</w:t>
      </w:r>
      <w:r>
        <w:rPr>
          <w:rFonts w:ascii="仿宋" w:hAnsi="仿宋" w:eastAsia="仿宋"/>
          <w:b/>
          <w:sz w:val="32"/>
          <w:szCs w:val="32"/>
        </w:rPr>
        <w:t>采购情况说明</w:t>
      </w:r>
    </w:p>
    <w:p>
      <w:pPr>
        <w:adjustRightInd w:val="0"/>
        <w:snapToGrid w:val="0"/>
        <w:spacing w:line="600" w:lineRule="exact"/>
        <w:ind w:firstLine="640"/>
        <w:rPr>
          <w:rFonts w:ascii="仿宋" w:hAnsi="仿宋" w:eastAsia="仿宋" w:cs="仿宋"/>
          <w:sz w:val="32"/>
          <w:szCs w:val="32"/>
        </w:rPr>
      </w:pPr>
      <w:r>
        <w:rPr>
          <w:rFonts w:hint="eastAsia" w:ascii="仿宋" w:hAnsi="仿宋" w:eastAsia="仿宋" w:cs="仿宋"/>
          <w:sz w:val="32"/>
          <w:szCs w:val="32"/>
        </w:rPr>
        <w:t>2025年我单位没有安排政府采购预算经费，没有此方面支出。</w:t>
      </w:r>
    </w:p>
    <w:p>
      <w:pPr>
        <w:adjustRightInd w:val="0"/>
        <w:snapToGrid w:val="0"/>
        <w:spacing w:line="600" w:lineRule="exact"/>
        <w:rPr>
          <w:rFonts w:ascii="仿宋" w:hAnsi="仿宋" w:eastAsia="仿宋"/>
          <w:b/>
          <w:sz w:val="32"/>
          <w:szCs w:val="32"/>
        </w:rPr>
      </w:pPr>
      <w:r>
        <w:rPr>
          <w:rFonts w:hint="eastAsia" w:ascii="仿宋" w:hAnsi="仿宋" w:eastAsia="仿宋"/>
          <w:b/>
          <w:sz w:val="32"/>
          <w:szCs w:val="32"/>
        </w:rPr>
        <w:t>九、国有资产占有使用情况</w:t>
      </w:r>
    </w:p>
    <w:p>
      <w:pPr>
        <w:pStyle w:val="13"/>
        <w:snapToGrid w:val="0"/>
        <w:spacing w:line="600" w:lineRule="exact"/>
        <w:ind w:firstLine="640" w:firstLineChars="200"/>
        <w:rPr>
          <w:rFonts w:ascii="仿宋" w:hAnsi="仿宋" w:eastAsia="仿宋" w:cs="仿宋"/>
          <w:color w:val="auto"/>
          <w:kern w:val="2"/>
          <w:sz w:val="32"/>
          <w:szCs w:val="32"/>
        </w:rPr>
      </w:pPr>
      <w:r>
        <w:rPr>
          <w:rFonts w:hint="eastAsia" w:ascii="仿宋_GB2312" w:hAnsi="仿宋" w:eastAsia="仿宋_GB2312" w:cs="仿宋"/>
          <w:color w:val="auto"/>
          <w:kern w:val="2"/>
          <w:sz w:val="32"/>
          <w:szCs w:val="32"/>
        </w:rPr>
        <w:t>截至2025年12月31日，那曲市第三小学共有车辆1辆，为业务用车。</w:t>
      </w:r>
      <w:r>
        <w:rPr>
          <w:rFonts w:hint="eastAsia" w:ascii="仿宋" w:hAnsi="仿宋" w:eastAsia="仿宋" w:cs="仿宋"/>
          <w:color w:val="auto"/>
          <w:kern w:val="2"/>
          <w:sz w:val="32"/>
          <w:szCs w:val="32"/>
        </w:rPr>
        <w:t>我单位无价值200万以上大型设备。</w:t>
      </w:r>
    </w:p>
    <w:p>
      <w:pPr>
        <w:pStyle w:val="12"/>
        <w:framePr w:wrap="auto" w:vAnchor="margin" w:hAnchor="text" w:yAlign="inline"/>
        <w:rPr>
          <w:rFonts w:hint="default" w:ascii="仿宋" w:hAnsi="仿宋" w:eastAsia="仿宋" w:cs="仿宋"/>
          <w:b/>
          <w:bCs/>
          <w:color w:val="auto"/>
          <w:kern w:val="2"/>
          <w:sz w:val="32"/>
          <w:szCs w:val="32"/>
          <w:lang w:val="en-US"/>
        </w:rPr>
      </w:pPr>
      <w:r>
        <w:rPr>
          <w:rFonts w:ascii="仿宋" w:hAnsi="仿宋" w:eastAsia="仿宋" w:cs="仿宋"/>
          <w:b/>
          <w:bCs/>
          <w:color w:val="auto"/>
          <w:kern w:val="2"/>
          <w:sz w:val="32"/>
          <w:szCs w:val="32"/>
        </w:rPr>
        <w:t>十、重点、重大项目信息</w:t>
      </w:r>
    </w:p>
    <w:p>
      <w:pPr>
        <w:pStyle w:val="13"/>
        <w:snapToGrid w:val="0"/>
        <w:spacing w:line="600" w:lineRule="exact"/>
        <w:ind w:firstLine="640" w:firstLineChars="200"/>
        <w:rPr>
          <w:rFonts w:ascii="仿宋" w:hAnsi="仿宋" w:eastAsia="仿宋" w:cs="仿宋"/>
          <w:color w:val="auto"/>
          <w:kern w:val="2"/>
          <w:sz w:val="32"/>
          <w:szCs w:val="32"/>
        </w:rPr>
      </w:pPr>
      <w:r>
        <w:rPr>
          <w:rFonts w:hint="eastAsia" w:ascii="仿宋" w:hAnsi="仿宋" w:eastAsia="仿宋" w:cs="仿宋"/>
          <w:color w:val="auto"/>
          <w:kern w:val="2"/>
          <w:sz w:val="32"/>
          <w:szCs w:val="32"/>
        </w:rPr>
        <w:t>2025</w:t>
      </w:r>
      <w:r>
        <w:rPr>
          <w:rFonts w:hint="eastAsia" w:ascii="仿宋" w:hAnsi="仿宋" w:eastAsia="仿宋" w:cs="仿宋"/>
          <w:color w:val="auto"/>
          <w:kern w:val="2"/>
          <w:sz w:val="32"/>
          <w:szCs w:val="32"/>
          <w:lang w:val="zh-CN"/>
        </w:rPr>
        <w:t>年那曲市第三小学无重点项目</w:t>
      </w:r>
    </w:p>
    <w:p>
      <w:pPr>
        <w:adjustRightInd w:val="0"/>
        <w:snapToGrid w:val="0"/>
        <w:spacing w:line="600" w:lineRule="exact"/>
        <w:jc w:val="center"/>
        <w:rPr>
          <w:rFonts w:ascii="黑体" w:hAnsi="宋体" w:eastAsia="黑体"/>
          <w:sz w:val="48"/>
          <w:szCs w:val="48"/>
        </w:rPr>
      </w:pPr>
      <w:r>
        <w:rPr>
          <w:rFonts w:hint="eastAsia" w:ascii="黑体" w:hAnsi="宋体" w:eastAsia="黑体"/>
          <w:sz w:val="48"/>
          <w:szCs w:val="48"/>
        </w:rPr>
        <w:t xml:space="preserve">  </w:t>
      </w:r>
    </w:p>
    <w:p>
      <w:pPr>
        <w:adjustRightInd w:val="0"/>
        <w:snapToGrid w:val="0"/>
        <w:spacing w:line="600" w:lineRule="exact"/>
        <w:ind w:firstLine="1200" w:firstLineChars="250"/>
        <w:rPr>
          <w:rFonts w:ascii="黑体" w:hAnsi="宋体" w:eastAsia="黑体"/>
          <w:sz w:val="48"/>
          <w:szCs w:val="48"/>
        </w:rPr>
      </w:pPr>
      <w:r>
        <w:rPr>
          <w:rFonts w:hint="eastAsia" w:ascii="黑体" w:hAnsi="宋体" w:eastAsia="黑体"/>
          <w:sz w:val="48"/>
          <w:szCs w:val="48"/>
        </w:rPr>
        <w:t>第四部分 名词解释</w:t>
      </w:r>
    </w:p>
    <w:p>
      <w:pPr>
        <w:adjustRightInd w:val="0"/>
        <w:snapToGrid w:val="0"/>
        <w:spacing w:line="600" w:lineRule="exact"/>
        <w:jc w:val="center"/>
        <w:rPr>
          <w:rFonts w:ascii="黑体" w:hAnsi="宋体" w:eastAsia="黑体"/>
          <w:sz w:val="48"/>
          <w:szCs w:val="48"/>
        </w:rPr>
      </w:pPr>
    </w:p>
    <w:p>
      <w:pPr>
        <w:pStyle w:val="12"/>
        <w:framePr w:wrap="auto" w:vAnchor="margin" w:hAnchor="text" w:yAlign="inline"/>
        <w:rPr>
          <w:rFonts w:hint="default" w:ascii="仿宋" w:hAnsi="仿宋" w:eastAsia="仿宋" w:cs="仿宋"/>
          <w:color w:val="auto"/>
          <w:sz w:val="32"/>
          <w:szCs w:val="32"/>
        </w:rPr>
      </w:pPr>
      <w:r>
        <w:rPr>
          <w:rFonts w:ascii="仿宋" w:hAnsi="仿宋" w:eastAsia="仿宋" w:cs="仿宋"/>
          <w:color w:val="auto"/>
          <w:sz w:val="32"/>
          <w:szCs w:val="32"/>
        </w:rPr>
        <w:t>一、一般公共预算拨款收入：指财政部门当年拨付的资金。</w:t>
      </w:r>
    </w:p>
    <w:p>
      <w:pPr>
        <w:pStyle w:val="12"/>
        <w:framePr w:wrap="auto" w:vAnchor="margin" w:hAnchor="text" w:yAlign="inline"/>
        <w:rPr>
          <w:rFonts w:hint="default" w:ascii="仿宋" w:hAnsi="仿宋" w:eastAsia="仿宋" w:cs="仿宋"/>
          <w:color w:val="auto"/>
          <w:sz w:val="32"/>
          <w:szCs w:val="32"/>
        </w:rPr>
      </w:pPr>
      <w:r>
        <w:rPr>
          <w:rFonts w:ascii="仿宋" w:hAnsi="仿宋" w:eastAsia="仿宋" w:cs="仿宋"/>
          <w:color w:val="auto"/>
          <w:sz w:val="32"/>
          <w:szCs w:val="32"/>
        </w:rPr>
        <w:t>二、财政补助收入：指市级财政当年拨付的资金。</w:t>
      </w:r>
    </w:p>
    <w:p>
      <w:pPr>
        <w:pStyle w:val="12"/>
        <w:framePr w:wrap="auto" w:vAnchor="margin" w:hAnchor="text" w:yAlign="inline"/>
        <w:jc w:val="center"/>
        <w:rPr>
          <w:rFonts w:hint="default" w:ascii="仿宋" w:hAnsi="仿宋" w:eastAsia="仿宋" w:cs="仿宋"/>
          <w:color w:val="auto"/>
          <w:sz w:val="32"/>
          <w:szCs w:val="32"/>
        </w:rPr>
      </w:pPr>
      <w:r>
        <w:rPr>
          <w:rFonts w:ascii="仿宋" w:hAnsi="仿宋" w:eastAsia="仿宋" w:cs="仿宋"/>
          <w:color w:val="auto"/>
          <w:sz w:val="32"/>
          <w:szCs w:val="32"/>
        </w:rPr>
        <w:t>三、三公经费：是指市级财政部门用财政拨款安排的因公出</w:t>
      </w:r>
      <w:r>
        <w:rPr>
          <w:rFonts w:ascii="仿宋" w:hAnsi="仿宋" w:eastAsia="仿宋" w:cs="仿宋"/>
          <w:color w:val="auto"/>
          <w:sz w:val="32"/>
          <w:szCs w:val="32"/>
          <w:lang w:val="en-US"/>
        </w:rPr>
        <w:t xml:space="preserve"> </w:t>
      </w:r>
      <w:r>
        <w:rPr>
          <w:rFonts w:ascii="仿宋" w:hAnsi="仿宋" w:eastAsia="仿宋" w:cs="仿宋"/>
          <w:color w:val="auto"/>
          <w:sz w:val="32"/>
          <w:szCs w:val="32"/>
        </w:rPr>
        <w:t>国（境）费，公务用车购置及运行费和公务接待费。</w:t>
      </w:r>
    </w:p>
    <w:p>
      <w:pPr>
        <w:pStyle w:val="12"/>
        <w:framePr w:wrap="auto" w:vAnchor="margin" w:hAnchor="text" w:yAlign="inline"/>
        <w:rPr>
          <w:rFonts w:hint="default" w:ascii="仿宋" w:hAnsi="仿宋" w:eastAsia="仿宋" w:cs="仿宋"/>
          <w:color w:val="auto"/>
          <w:sz w:val="32"/>
          <w:szCs w:val="32"/>
        </w:rPr>
      </w:pPr>
      <w:r>
        <w:rPr>
          <w:rFonts w:ascii="仿宋" w:hAnsi="仿宋" w:eastAsia="仿宋" w:cs="仿宋"/>
          <w:color w:val="auto"/>
          <w:sz w:val="32"/>
          <w:szCs w:val="32"/>
        </w:rPr>
        <w:t>四、工资福利支出：反映单位开支的在职职工和编制外长期聘用人员的各类劳动报酬，以及为上述人员缴纳的各项社会保险费等。</w:t>
      </w:r>
    </w:p>
    <w:p>
      <w:pPr>
        <w:pStyle w:val="12"/>
        <w:framePr w:wrap="auto" w:vAnchor="margin" w:hAnchor="text" w:yAlign="inline"/>
        <w:rPr>
          <w:rFonts w:hint="default" w:ascii="仿宋" w:hAnsi="仿宋" w:eastAsia="仿宋" w:cs="仿宋"/>
          <w:color w:val="auto"/>
          <w:sz w:val="32"/>
          <w:szCs w:val="32"/>
        </w:rPr>
      </w:pPr>
      <w:r>
        <w:rPr>
          <w:rFonts w:ascii="仿宋" w:hAnsi="仿宋" w:eastAsia="仿宋" w:cs="仿宋"/>
          <w:color w:val="auto"/>
          <w:sz w:val="32"/>
          <w:szCs w:val="32"/>
        </w:rPr>
        <w:t>五、商品和服务支出：反映单位购买商品和服务的支出，不包括用于购置固定资产、战略性和应急性物资储备等资本必支出。</w:t>
      </w:r>
    </w:p>
    <w:p>
      <w:pPr>
        <w:pStyle w:val="12"/>
        <w:framePr w:wrap="auto" w:vAnchor="margin" w:hAnchor="text" w:yAlign="inline"/>
        <w:rPr>
          <w:rFonts w:hint="default" w:ascii="仿宋" w:hAnsi="仿宋" w:eastAsia="仿宋" w:cs="仿宋"/>
          <w:color w:val="auto"/>
          <w:sz w:val="32"/>
          <w:szCs w:val="32"/>
        </w:rPr>
      </w:pPr>
      <w:r>
        <w:rPr>
          <w:rFonts w:ascii="仿宋" w:hAnsi="仿宋" w:eastAsia="仿宋" w:cs="仿宋"/>
          <w:color w:val="auto"/>
          <w:sz w:val="32"/>
          <w:szCs w:val="32"/>
        </w:rPr>
        <w:t>六、对个人和家庭的补助：反映政府用于对个人和家庭的补助支出。</w:t>
      </w:r>
    </w:p>
    <w:p>
      <w:pPr>
        <w:pStyle w:val="12"/>
        <w:framePr w:wrap="auto" w:vAnchor="margin" w:hAnchor="text" w:yAlign="inline"/>
        <w:rPr>
          <w:rFonts w:hint="default" w:ascii="仿宋" w:hAnsi="仿宋" w:eastAsia="仿宋" w:cs="仿宋"/>
          <w:color w:val="auto"/>
          <w:sz w:val="32"/>
          <w:szCs w:val="32"/>
        </w:rPr>
      </w:pPr>
      <w:r>
        <w:rPr>
          <w:rFonts w:ascii="仿宋" w:hAnsi="仿宋" w:eastAsia="仿宋" w:cs="仿宋"/>
          <w:color w:val="auto"/>
          <w:sz w:val="32"/>
          <w:szCs w:val="32"/>
        </w:rPr>
        <w:t>七、基本支出：指为保障机构正常运转、完成日常工作任务而发生的人员支出和公用支出。</w:t>
      </w:r>
    </w:p>
    <w:p>
      <w:pPr>
        <w:pStyle w:val="12"/>
        <w:framePr w:wrap="auto" w:vAnchor="margin" w:hAnchor="text" w:yAlign="inline"/>
        <w:jc w:val="both"/>
        <w:rPr>
          <w:rFonts w:hint="default" w:ascii="仿宋" w:hAnsi="仿宋" w:eastAsia="仿宋" w:cs="仿宋"/>
          <w:sz w:val="32"/>
          <w:szCs w:val="32"/>
        </w:rPr>
      </w:pPr>
      <w:r>
        <w:rPr>
          <w:rFonts w:ascii="仿宋" w:hAnsi="仿宋" w:eastAsia="仿宋" w:cs="仿宋"/>
          <w:sz w:val="32"/>
          <w:szCs w:val="32"/>
        </w:rPr>
        <w:t>八、项目支出：指在基本支出之外为完成特定行政任务和事业发展目标所发生的支出。</w:t>
      </w:r>
    </w:p>
    <w:p>
      <w:pPr>
        <w:pStyle w:val="12"/>
        <w:framePr w:wrap="auto" w:vAnchor="margin" w:hAnchor="text" w:yAlign="inline"/>
        <w:rPr>
          <w:rFonts w:hint="default" w:ascii="仿宋" w:hAnsi="仿宋" w:eastAsia="仿宋" w:cs="仿宋"/>
          <w:sz w:val="32"/>
          <w:szCs w:val="32"/>
        </w:rPr>
      </w:pPr>
      <w:r>
        <w:rPr>
          <w:rFonts w:ascii="仿宋" w:hAnsi="仿宋" w:eastAsia="仿宋" w:cs="仿宋"/>
          <w:sz w:val="32"/>
          <w:szCs w:val="32"/>
        </w:rPr>
        <w:t>九、资本性支出（基本建设）：反映切块由发展改革部门安排的基本建设支出，对企业补助支出不在此科目反映。</w:t>
      </w:r>
    </w:p>
    <w:p>
      <w:pPr>
        <w:pStyle w:val="12"/>
        <w:framePr w:wrap="auto" w:vAnchor="margin" w:hAnchor="text" w:yAlign="inline"/>
        <w:jc w:val="center"/>
        <w:rPr>
          <w:rFonts w:hint="default" w:ascii="仿宋" w:hAnsi="仿宋" w:eastAsia="仿宋" w:cs="仿宋"/>
          <w:sz w:val="32"/>
          <w:szCs w:val="32"/>
        </w:rPr>
      </w:pPr>
      <w:r>
        <w:rPr>
          <w:rFonts w:ascii="仿宋" w:hAnsi="仿宋" w:eastAsia="仿宋" w:cs="仿宋"/>
          <w:sz w:val="32"/>
          <w:szCs w:val="32"/>
        </w:rPr>
        <w:t>十、资本性支出：反映各单位安排的资本性支出。切块由发展改革部门安排的基本建设支出不在此科目反映。</w:t>
      </w:r>
    </w:p>
    <w:p>
      <w:pPr>
        <w:pStyle w:val="12"/>
        <w:framePr w:wrap="auto" w:vAnchor="margin" w:hAnchor="text" w:yAlign="inline"/>
        <w:jc w:val="both"/>
        <w:rPr>
          <w:rFonts w:hint="default" w:ascii="仿宋" w:hAnsi="仿宋" w:eastAsia="仿宋" w:cs="仿宋"/>
          <w:sz w:val="32"/>
          <w:szCs w:val="32"/>
        </w:rPr>
      </w:pPr>
      <w:r>
        <w:rPr>
          <w:rFonts w:ascii="仿宋" w:hAnsi="仿宋" w:eastAsia="仿宋" w:cs="仿宋"/>
          <w:sz w:val="32"/>
          <w:szCs w:val="32"/>
        </w:rPr>
        <w:t>十一、社会保障和就业支出：指政府在社会保障与就业上面的支出。</w:t>
      </w:r>
    </w:p>
    <w:p>
      <w:pPr>
        <w:pStyle w:val="12"/>
        <w:framePr w:wrap="auto" w:vAnchor="margin" w:hAnchor="text" w:yAlign="inline"/>
        <w:jc w:val="both"/>
        <w:rPr>
          <w:rFonts w:hint="default" w:ascii="仿宋" w:hAnsi="仿宋" w:eastAsia="仿宋" w:cs="仿宋"/>
          <w:sz w:val="32"/>
          <w:szCs w:val="32"/>
        </w:rPr>
      </w:pPr>
      <w:r>
        <w:rPr>
          <w:rFonts w:ascii="仿宋" w:hAnsi="仿宋" w:eastAsia="仿宋" w:cs="仿宋"/>
          <w:sz w:val="32"/>
          <w:szCs w:val="32"/>
        </w:rPr>
        <w:t>十二、行政事业单位医疗：指财政集中安排的行政事业单位医疗保险缴费经费。</w:t>
      </w:r>
    </w:p>
    <w:p>
      <w:pPr>
        <w:pStyle w:val="12"/>
        <w:framePr w:wrap="auto" w:vAnchor="margin" w:hAnchor="text" w:yAlign="inline"/>
        <w:jc w:val="both"/>
        <w:rPr>
          <w:rFonts w:hint="default" w:ascii="仿宋" w:hAnsi="仿宋" w:eastAsia="仿宋" w:cs="仿宋"/>
          <w:sz w:val="32"/>
          <w:szCs w:val="32"/>
        </w:rPr>
      </w:pPr>
      <w:r>
        <w:rPr>
          <w:rFonts w:ascii="仿宋" w:hAnsi="仿宋" w:eastAsia="仿宋" w:cs="仿宋"/>
          <w:sz w:val="32"/>
          <w:szCs w:val="32"/>
        </w:rPr>
        <w:t>十三、住房公积金：指行政事业单位按人力资源和社会保障保障部门、财政部门规定的基本工资和津贴补贴以及规定比例为职工缴纳的住房公积金。</w:t>
      </w:r>
    </w:p>
    <w:p>
      <w:pPr>
        <w:pStyle w:val="12"/>
        <w:framePr w:wrap="auto" w:vAnchor="margin" w:hAnchor="text" w:yAlign="inline"/>
        <w:jc w:val="both"/>
        <w:rPr>
          <w:rFonts w:hint="default" w:ascii="仿宋" w:hAnsi="仿宋" w:eastAsia="仿宋" w:cs="仿宋"/>
          <w:sz w:val="32"/>
          <w:szCs w:val="32"/>
        </w:rPr>
      </w:pPr>
      <w:r>
        <w:rPr>
          <w:rFonts w:ascii="仿宋" w:hAnsi="仿宋" w:eastAsia="仿宋" w:cs="仿宋"/>
          <w:sz w:val="32"/>
          <w:szCs w:val="32"/>
        </w:rPr>
        <w:t>十四、日常公用经费是指我单位的公用经费，包括办公及印刷费、邮电费、差旅费、会议费、福利费、日常维修费、专用材料及一般设备购置费、办公用房水电费、办公用房取暖费、公务用车运行维护费及其他、</w:t>
      </w:r>
    </w:p>
    <w:p>
      <w:pPr>
        <w:pStyle w:val="12"/>
        <w:framePr w:wrap="auto" w:vAnchor="margin" w:hAnchor="text" w:yAlign="inline"/>
        <w:jc w:val="both"/>
        <w:rPr>
          <w:rFonts w:hint="default" w:ascii="仿宋" w:hAnsi="仿宋" w:eastAsia="仿宋" w:cs="仿宋"/>
          <w:sz w:val="32"/>
          <w:szCs w:val="32"/>
        </w:rPr>
      </w:pPr>
      <w:r>
        <w:rPr>
          <w:rFonts w:ascii="仿宋" w:hAnsi="仿宋" w:eastAsia="仿宋" w:cs="仿宋"/>
          <w:sz w:val="32"/>
          <w:szCs w:val="32"/>
        </w:rPr>
        <w:t>十五、上年结转，指以前年度尚未完成、结转到本年</w:t>
      </w:r>
    </w:p>
    <w:p>
      <w:pPr>
        <w:rPr>
          <w:rFonts w:ascii="仿宋" w:hAnsi="仿宋" w:eastAsia="仿宋" w:cs="仿宋"/>
          <w:sz w:val="32"/>
          <w:szCs w:val="32"/>
          <w:lang w:val="zh-CN"/>
        </w:rPr>
      </w:pPr>
      <w:r>
        <w:rPr>
          <w:rFonts w:hint="eastAsia" w:ascii="仿宋" w:hAnsi="仿宋" w:eastAsia="仿宋" w:cs="仿宋"/>
          <w:sz w:val="32"/>
          <w:szCs w:val="32"/>
          <w:lang w:val="zh-CN"/>
        </w:rPr>
        <w:t>仍按原规定用途继续使用的资金。</w:t>
      </w:r>
    </w:p>
    <w:p>
      <w:pPr>
        <w:ind w:firstLine="4160" w:firstLineChars="1300"/>
        <w:rPr>
          <w:rFonts w:ascii="仿宋" w:hAnsi="仿宋" w:eastAsia="仿宋" w:cs="仿宋"/>
          <w:sz w:val="32"/>
          <w:szCs w:val="32"/>
        </w:rPr>
      </w:pPr>
    </w:p>
    <w:p>
      <w:pPr>
        <w:ind w:firstLine="4480" w:firstLineChars="1400"/>
        <w:rPr>
          <w:rFonts w:ascii="仿宋" w:hAnsi="仿宋" w:eastAsia="仿宋" w:cs="仿宋"/>
          <w:sz w:val="32"/>
          <w:szCs w:val="32"/>
        </w:rPr>
      </w:pPr>
      <w:r>
        <w:rPr>
          <w:rFonts w:hint="eastAsia" w:ascii="仿宋" w:hAnsi="仿宋" w:eastAsia="仿宋" w:cs="仿宋"/>
          <w:sz w:val="32"/>
          <w:szCs w:val="32"/>
        </w:rPr>
        <w:t>那曲市第三小学</w:t>
      </w:r>
    </w:p>
    <w:p>
      <w:pPr>
        <w:ind w:firstLine="4480" w:firstLineChars="1400"/>
        <w:rPr>
          <w:rFonts w:ascii="仿宋" w:hAnsi="仿宋" w:eastAsia="仿宋" w:cs="仿宋"/>
          <w:sz w:val="32"/>
          <w:szCs w:val="32"/>
        </w:rPr>
      </w:pPr>
      <w:r>
        <w:rPr>
          <w:rFonts w:hint="eastAsia" w:ascii="仿宋" w:hAnsi="仿宋" w:eastAsia="仿宋" w:cs="仿宋"/>
          <w:sz w:val="32"/>
          <w:szCs w:val="32"/>
        </w:rPr>
        <w:t>2026年7月16日</w:t>
      </w:r>
    </w:p>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Arial"/>
    <w:panose1 w:val="020B0604020202020204"/>
    <w:charset w:val="00"/>
    <w:family w:val="roman"/>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宋体"/>
    <w:panose1 w:val="02010601030101010101"/>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sz w:val="24"/>
        <w:szCs w:val="24"/>
      </w:rPr>
    </w:pPr>
    <w:r>
      <w:rPr>
        <w:sz w:val="24"/>
        <w:szCs w:val="24"/>
      </w:rPr>
      <w:fldChar w:fldCharType="begin"/>
    </w:r>
    <w:r>
      <w:rPr>
        <w:rStyle w:val="10"/>
        <w:sz w:val="24"/>
        <w:szCs w:val="24"/>
      </w:rPr>
      <w:instrText xml:space="preserve">PAGE  </w:instrText>
    </w:r>
    <w:r>
      <w:rPr>
        <w:sz w:val="24"/>
        <w:szCs w:val="24"/>
      </w:rPr>
      <w:fldChar w:fldCharType="separate"/>
    </w:r>
    <w:r>
      <w:rPr>
        <w:rStyle w:val="10"/>
        <w:sz w:val="24"/>
        <w:szCs w:val="24"/>
      </w:rPr>
      <w:t>11</w:t>
    </w:r>
    <w:r>
      <w:rPr>
        <w:sz w:val="24"/>
        <w:szCs w:val="24"/>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A94E6B"/>
    <w:multiLevelType w:val="singleLevel"/>
    <w:tmpl w:val="33A94E6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026E0"/>
    <w:rsid w:val="00000EDB"/>
    <w:rsid w:val="00000F6C"/>
    <w:rsid w:val="0000198D"/>
    <w:rsid w:val="00005BCF"/>
    <w:rsid w:val="00006F16"/>
    <w:rsid w:val="00010114"/>
    <w:rsid w:val="00012974"/>
    <w:rsid w:val="00015F4D"/>
    <w:rsid w:val="00020567"/>
    <w:rsid w:val="000218E5"/>
    <w:rsid w:val="00024704"/>
    <w:rsid w:val="00043BD0"/>
    <w:rsid w:val="0005565E"/>
    <w:rsid w:val="00063E5B"/>
    <w:rsid w:val="00066A3A"/>
    <w:rsid w:val="00072430"/>
    <w:rsid w:val="000907F7"/>
    <w:rsid w:val="00092381"/>
    <w:rsid w:val="0009277E"/>
    <w:rsid w:val="000A0A9E"/>
    <w:rsid w:val="000A0C30"/>
    <w:rsid w:val="000A192B"/>
    <w:rsid w:val="000A3238"/>
    <w:rsid w:val="000A60CD"/>
    <w:rsid w:val="000A79B6"/>
    <w:rsid w:val="000B45A9"/>
    <w:rsid w:val="000B7C10"/>
    <w:rsid w:val="000C3248"/>
    <w:rsid w:val="000C6C13"/>
    <w:rsid w:val="000D4C3E"/>
    <w:rsid w:val="000D6154"/>
    <w:rsid w:val="000D65E8"/>
    <w:rsid w:val="000D7263"/>
    <w:rsid w:val="000E231B"/>
    <w:rsid w:val="000E245D"/>
    <w:rsid w:val="000F0194"/>
    <w:rsid w:val="000F305C"/>
    <w:rsid w:val="000F5C92"/>
    <w:rsid w:val="000F6038"/>
    <w:rsid w:val="000F67EF"/>
    <w:rsid w:val="00100C87"/>
    <w:rsid w:val="001026E0"/>
    <w:rsid w:val="00102B0E"/>
    <w:rsid w:val="00124CE8"/>
    <w:rsid w:val="00124DC3"/>
    <w:rsid w:val="001252E5"/>
    <w:rsid w:val="00132EFF"/>
    <w:rsid w:val="001337DD"/>
    <w:rsid w:val="001349F6"/>
    <w:rsid w:val="00134B8A"/>
    <w:rsid w:val="00145A2A"/>
    <w:rsid w:val="00151DFA"/>
    <w:rsid w:val="001520CC"/>
    <w:rsid w:val="001549E6"/>
    <w:rsid w:val="001566F8"/>
    <w:rsid w:val="0016431F"/>
    <w:rsid w:val="0017073B"/>
    <w:rsid w:val="0017102B"/>
    <w:rsid w:val="00172075"/>
    <w:rsid w:val="00185BD5"/>
    <w:rsid w:val="00196B49"/>
    <w:rsid w:val="001A10D9"/>
    <w:rsid w:val="001A6341"/>
    <w:rsid w:val="001A6A15"/>
    <w:rsid w:val="001A70D7"/>
    <w:rsid w:val="001A7B4D"/>
    <w:rsid w:val="001B1B7B"/>
    <w:rsid w:val="001B4065"/>
    <w:rsid w:val="001C031F"/>
    <w:rsid w:val="001C76CF"/>
    <w:rsid w:val="001C7D88"/>
    <w:rsid w:val="001D1700"/>
    <w:rsid w:val="001D2114"/>
    <w:rsid w:val="001D49EE"/>
    <w:rsid w:val="001D660B"/>
    <w:rsid w:val="001E622D"/>
    <w:rsid w:val="001E6D89"/>
    <w:rsid w:val="001F47BD"/>
    <w:rsid w:val="001F71D2"/>
    <w:rsid w:val="002026E2"/>
    <w:rsid w:val="00202EDD"/>
    <w:rsid w:val="00211AA2"/>
    <w:rsid w:val="00215B43"/>
    <w:rsid w:val="00215C7F"/>
    <w:rsid w:val="00215EC4"/>
    <w:rsid w:val="00223BE5"/>
    <w:rsid w:val="002273C8"/>
    <w:rsid w:val="00234E67"/>
    <w:rsid w:val="00235F5D"/>
    <w:rsid w:val="00237B1D"/>
    <w:rsid w:val="00237C88"/>
    <w:rsid w:val="00240438"/>
    <w:rsid w:val="00247AB6"/>
    <w:rsid w:val="002509D9"/>
    <w:rsid w:val="00253C37"/>
    <w:rsid w:val="00285BB0"/>
    <w:rsid w:val="00286FDB"/>
    <w:rsid w:val="002934AF"/>
    <w:rsid w:val="00297D27"/>
    <w:rsid w:val="00297E50"/>
    <w:rsid w:val="002C7803"/>
    <w:rsid w:val="002C7AC2"/>
    <w:rsid w:val="002D558C"/>
    <w:rsid w:val="002D6813"/>
    <w:rsid w:val="002D6EF9"/>
    <w:rsid w:val="002E229B"/>
    <w:rsid w:val="002E403D"/>
    <w:rsid w:val="002E50AE"/>
    <w:rsid w:val="002E7C34"/>
    <w:rsid w:val="002F17EC"/>
    <w:rsid w:val="002F4437"/>
    <w:rsid w:val="002F47BA"/>
    <w:rsid w:val="00301968"/>
    <w:rsid w:val="0030679E"/>
    <w:rsid w:val="0031669D"/>
    <w:rsid w:val="00316AC5"/>
    <w:rsid w:val="003173B5"/>
    <w:rsid w:val="00320E25"/>
    <w:rsid w:val="00322768"/>
    <w:rsid w:val="00323CD0"/>
    <w:rsid w:val="00330DC2"/>
    <w:rsid w:val="00336582"/>
    <w:rsid w:val="00341498"/>
    <w:rsid w:val="00343CED"/>
    <w:rsid w:val="003445D5"/>
    <w:rsid w:val="00344BE5"/>
    <w:rsid w:val="0035015A"/>
    <w:rsid w:val="00351681"/>
    <w:rsid w:val="00353909"/>
    <w:rsid w:val="003568CC"/>
    <w:rsid w:val="00374846"/>
    <w:rsid w:val="00376D13"/>
    <w:rsid w:val="0037744D"/>
    <w:rsid w:val="0039576F"/>
    <w:rsid w:val="003A2963"/>
    <w:rsid w:val="003A328F"/>
    <w:rsid w:val="003B12A0"/>
    <w:rsid w:val="003B3306"/>
    <w:rsid w:val="003B493D"/>
    <w:rsid w:val="003B64CB"/>
    <w:rsid w:val="003C15F0"/>
    <w:rsid w:val="003D0E3E"/>
    <w:rsid w:val="003D5A65"/>
    <w:rsid w:val="003D6797"/>
    <w:rsid w:val="003E113F"/>
    <w:rsid w:val="003F0AEC"/>
    <w:rsid w:val="003F1CC7"/>
    <w:rsid w:val="003F3D25"/>
    <w:rsid w:val="003F54E4"/>
    <w:rsid w:val="00400168"/>
    <w:rsid w:val="00400240"/>
    <w:rsid w:val="00405E92"/>
    <w:rsid w:val="004079B5"/>
    <w:rsid w:val="00407FCD"/>
    <w:rsid w:val="004121ED"/>
    <w:rsid w:val="004177D0"/>
    <w:rsid w:val="00424873"/>
    <w:rsid w:val="00427011"/>
    <w:rsid w:val="00427770"/>
    <w:rsid w:val="0042781E"/>
    <w:rsid w:val="00432400"/>
    <w:rsid w:val="00435126"/>
    <w:rsid w:val="004401A5"/>
    <w:rsid w:val="004432DE"/>
    <w:rsid w:val="00446FB1"/>
    <w:rsid w:val="00447F99"/>
    <w:rsid w:val="004521D5"/>
    <w:rsid w:val="00455406"/>
    <w:rsid w:val="00457EA9"/>
    <w:rsid w:val="004675D6"/>
    <w:rsid w:val="00473415"/>
    <w:rsid w:val="004758CD"/>
    <w:rsid w:val="00483012"/>
    <w:rsid w:val="00483DD6"/>
    <w:rsid w:val="004867B4"/>
    <w:rsid w:val="00492F9D"/>
    <w:rsid w:val="0049330E"/>
    <w:rsid w:val="00494650"/>
    <w:rsid w:val="00496BCA"/>
    <w:rsid w:val="004A3F18"/>
    <w:rsid w:val="004B003D"/>
    <w:rsid w:val="004B5AFB"/>
    <w:rsid w:val="004B7A0B"/>
    <w:rsid w:val="004C1266"/>
    <w:rsid w:val="004C210D"/>
    <w:rsid w:val="004C2658"/>
    <w:rsid w:val="004C6447"/>
    <w:rsid w:val="004C6EEC"/>
    <w:rsid w:val="004D5065"/>
    <w:rsid w:val="004D5739"/>
    <w:rsid w:val="004D7EC3"/>
    <w:rsid w:val="004E0DB2"/>
    <w:rsid w:val="004E170D"/>
    <w:rsid w:val="004E310E"/>
    <w:rsid w:val="004E41D6"/>
    <w:rsid w:val="005112BC"/>
    <w:rsid w:val="00511325"/>
    <w:rsid w:val="00512934"/>
    <w:rsid w:val="00512DF7"/>
    <w:rsid w:val="0051560E"/>
    <w:rsid w:val="0052615B"/>
    <w:rsid w:val="00534A7C"/>
    <w:rsid w:val="005368DB"/>
    <w:rsid w:val="0054146A"/>
    <w:rsid w:val="00543037"/>
    <w:rsid w:val="0055369F"/>
    <w:rsid w:val="00555FD5"/>
    <w:rsid w:val="005724C3"/>
    <w:rsid w:val="00574634"/>
    <w:rsid w:val="005766B7"/>
    <w:rsid w:val="00576B73"/>
    <w:rsid w:val="005A03DC"/>
    <w:rsid w:val="005A33ED"/>
    <w:rsid w:val="005A4B7E"/>
    <w:rsid w:val="005A57CE"/>
    <w:rsid w:val="005B5FE7"/>
    <w:rsid w:val="005B6BEC"/>
    <w:rsid w:val="005C10E0"/>
    <w:rsid w:val="005C1550"/>
    <w:rsid w:val="005C6149"/>
    <w:rsid w:val="005C799F"/>
    <w:rsid w:val="005D3398"/>
    <w:rsid w:val="005E008A"/>
    <w:rsid w:val="005E1089"/>
    <w:rsid w:val="005E76A6"/>
    <w:rsid w:val="0060590B"/>
    <w:rsid w:val="00605E1E"/>
    <w:rsid w:val="00611519"/>
    <w:rsid w:val="006211FC"/>
    <w:rsid w:val="00621509"/>
    <w:rsid w:val="00625A2C"/>
    <w:rsid w:val="006275BE"/>
    <w:rsid w:val="0063162F"/>
    <w:rsid w:val="0063455C"/>
    <w:rsid w:val="00642E06"/>
    <w:rsid w:val="006509C3"/>
    <w:rsid w:val="00657A1A"/>
    <w:rsid w:val="00665C53"/>
    <w:rsid w:val="00672F14"/>
    <w:rsid w:val="00675C84"/>
    <w:rsid w:val="006869D7"/>
    <w:rsid w:val="00695634"/>
    <w:rsid w:val="00695D28"/>
    <w:rsid w:val="00697DD8"/>
    <w:rsid w:val="006A1673"/>
    <w:rsid w:val="006A2C25"/>
    <w:rsid w:val="006A587F"/>
    <w:rsid w:val="006B19AE"/>
    <w:rsid w:val="006B5008"/>
    <w:rsid w:val="006C52F9"/>
    <w:rsid w:val="006C6008"/>
    <w:rsid w:val="006C7086"/>
    <w:rsid w:val="006D2A00"/>
    <w:rsid w:val="006D7DA7"/>
    <w:rsid w:val="006F0213"/>
    <w:rsid w:val="006F73F9"/>
    <w:rsid w:val="006F7C26"/>
    <w:rsid w:val="0070127D"/>
    <w:rsid w:val="00710AD7"/>
    <w:rsid w:val="00722EC0"/>
    <w:rsid w:val="00724C7B"/>
    <w:rsid w:val="00726265"/>
    <w:rsid w:val="00735AE3"/>
    <w:rsid w:val="007378B2"/>
    <w:rsid w:val="00747111"/>
    <w:rsid w:val="00753AEB"/>
    <w:rsid w:val="00753C5F"/>
    <w:rsid w:val="0075403D"/>
    <w:rsid w:val="00755E95"/>
    <w:rsid w:val="00764C16"/>
    <w:rsid w:val="007710A6"/>
    <w:rsid w:val="00771169"/>
    <w:rsid w:val="00771A16"/>
    <w:rsid w:val="00782EAA"/>
    <w:rsid w:val="007847E6"/>
    <w:rsid w:val="00787B3B"/>
    <w:rsid w:val="00787B6B"/>
    <w:rsid w:val="00791121"/>
    <w:rsid w:val="007A06B5"/>
    <w:rsid w:val="007A647B"/>
    <w:rsid w:val="007A7BB5"/>
    <w:rsid w:val="007B055E"/>
    <w:rsid w:val="007B5D82"/>
    <w:rsid w:val="007B7EE3"/>
    <w:rsid w:val="007C456D"/>
    <w:rsid w:val="007D01EE"/>
    <w:rsid w:val="007D4E0D"/>
    <w:rsid w:val="007D65BE"/>
    <w:rsid w:val="007E22B6"/>
    <w:rsid w:val="007E5A5C"/>
    <w:rsid w:val="007E6813"/>
    <w:rsid w:val="007F2636"/>
    <w:rsid w:val="007F33B1"/>
    <w:rsid w:val="007F6CAC"/>
    <w:rsid w:val="008026B4"/>
    <w:rsid w:val="0080667E"/>
    <w:rsid w:val="0081143C"/>
    <w:rsid w:val="008117D0"/>
    <w:rsid w:val="008131FD"/>
    <w:rsid w:val="008148A2"/>
    <w:rsid w:val="00815858"/>
    <w:rsid w:val="00817218"/>
    <w:rsid w:val="00820681"/>
    <w:rsid w:val="008366DE"/>
    <w:rsid w:val="00841896"/>
    <w:rsid w:val="00844702"/>
    <w:rsid w:val="00846054"/>
    <w:rsid w:val="00852136"/>
    <w:rsid w:val="00854E0F"/>
    <w:rsid w:val="00855772"/>
    <w:rsid w:val="00856BBB"/>
    <w:rsid w:val="0086333C"/>
    <w:rsid w:val="00864CD9"/>
    <w:rsid w:val="00866D5E"/>
    <w:rsid w:val="0086784E"/>
    <w:rsid w:val="00873545"/>
    <w:rsid w:val="00882707"/>
    <w:rsid w:val="0088531A"/>
    <w:rsid w:val="0088732D"/>
    <w:rsid w:val="00891A65"/>
    <w:rsid w:val="00894AD1"/>
    <w:rsid w:val="008A2077"/>
    <w:rsid w:val="008A273D"/>
    <w:rsid w:val="008A5EF5"/>
    <w:rsid w:val="008A7EF6"/>
    <w:rsid w:val="008B56EC"/>
    <w:rsid w:val="008C1C35"/>
    <w:rsid w:val="008D63C0"/>
    <w:rsid w:val="008E0A22"/>
    <w:rsid w:val="008E29C3"/>
    <w:rsid w:val="008F0FFC"/>
    <w:rsid w:val="008F7470"/>
    <w:rsid w:val="009100EC"/>
    <w:rsid w:val="00912399"/>
    <w:rsid w:val="00916092"/>
    <w:rsid w:val="00922730"/>
    <w:rsid w:val="00923437"/>
    <w:rsid w:val="00923845"/>
    <w:rsid w:val="00924185"/>
    <w:rsid w:val="00943B80"/>
    <w:rsid w:val="00945B93"/>
    <w:rsid w:val="0094709C"/>
    <w:rsid w:val="00952777"/>
    <w:rsid w:val="00952DF0"/>
    <w:rsid w:val="00953418"/>
    <w:rsid w:val="00955C3B"/>
    <w:rsid w:val="0095707E"/>
    <w:rsid w:val="0097107B"/>
    <w:rsid w:val="009756F6"/>
    <w:rsid w:val="00977DCC"/>
    <w:rsid w:val="00980D17"/>
    <w:rsid w:val="00984D87"/>
    <w:rsid w:val="009851FF"/>
    <w:rsid w:val="009853D9"/>
    <w:rsid w:val="009934E3"/>
    <w:rsid w:val="00997F6A"/>
    <w:rsid w:val="009A10B7"/>
    <w:rsid w:val="009A1539"/>
    <w:rsid w:val="009C33EF"/>
    <w:rsid w:val="009C6035"/>
    <w:rsid w:val="009D7608"/>
    <w:rsid w:val="009E0000"/>
    <w:rsid w:val="009F0B70"/>
    <w:rsid w:val="009F4044"/>
    <w:rsid w:val="00A059D1"/>
    <w:rsid w:val="00A15D00"/>
    <w:rsid w:val="00A1641F"/>
    <w:rsid w:val="00A2754C"/>
    <w:rsid w:val="00A31616"/>
    <w:rsid w:val="00A322E4"/>
    <w:rsid w:val="00A3480D"/>
    <w:rsid w:val="00A42A72"/>
    <w:rsid w:val="00A50FB4"/>
    <w:rsid w:val="00A5423B"/>
    <w:rsid w:val="00A74C58"/>
    <w:rsid w:val="00A839A1"/>
    <w:rsid w:val="00A83E50"/>
    <w:rsid w:val="00A84075"/>
    <w:rsid w:val="00A84483"/>
    <w:rsid w:val="00A91140"/>
    <w:rsid w:val="00A9298E"/>
    <w:rsid w:val="00A94DA8"/>
    <w:rsid w:val="00AA25BA"/>
    <w:rsid w:val="00AC5310"/>
    <w:rsid w:val="00AD3E05"/>
    <w:rsid w:val="00AF617F"/>
    <w:rsid w:val="00AF6820"/>
    <w:rsid w:val="00AF702E"/>
    <w:rsid w:val="00B036CF"/>
    <w:rsid w:val="00B042F5"/>
    <w:rsid w:val="00B16F04"/>
    <w:rsid w:val="00B17209"/>
    <w:rsid w:val="00B24B71"/>
    <w:rsid w:val="00B252E9"/>
    <w:rsid w:val="00B31261"/>
    <w:rsid w:val="00B35DF8"/>
    <w:rsid w:val="00B43912"/>
    <w:rsid w:val="00B456F7"/>
    <w:rsid w:val="00B5224E"/>
    <w:rsid w:val="00B55C32"/>
    <w:rsid w:val="00B7517D"/>
    <w:rsid w:val="00B75A21"/>
    <w:rsid w:val="00B853BC"/>
    <w:rsid w:val="00B955A8"/>
    <w:rsid w:val="00BA2282"/>
    <w:rsid w:val="00BA2AAE"/>
    <w:rsid w:val="00BA40D8"/>
    <w:rsid w:val="00BA5587"/>
    <w:rsid w:val="00BB401B"/>
    <w:rsid w:val="00BB797C"/>
    <w:rsid w:val="00BC70AF"/>
    <w:rsid w:val="00BE072B"/>
    <w:rsid w:val="00BE0B17"/>
    <w:rsid w:val="00BE2860"/>
    <w:rsid w:val="00BE5BA0"/>
    <w:rsid w:val="00BF3706"/>
    <w:rsid w:val="00BF5087"/>
    <w:rsid w:val="00BF6573"/>
    <w:rsid w:val="00BF71BA"/>
    <w:rsid w:val="00C0374B"/>
    <w:rsid w:val="00C04C26"/>
    <w:rsid w:val="00C06ED5"/>
    <w:rsid w:val="00C1655D"/>
    <w:rsid w:val="00C2233E"/>
    <w:rsid w:val="00C33398"/>
    <w:rsid w:val="00C40173"/>
    <w:rsid w:val="00C5078B"/>
    <w:rsid w:val="00C518B2"/>
    <w:rsid w:val="00C546CF"/>
    <w:rsid w:val="00C630F5"/>
    <w:rsid w:val="00C7134B"/>
    <w:rsid w:val="00C74056"/>
    <w:rsid w:val="00C7491F"/>
    <w:rsid w:val="00C74960"/>
    <w:rsid w:val="00C751B6"/>
    <w:rsid w:val="00C7737C"/>
    <w:rsid w:val="00C8075C"/>
    <w:rsid w:val="00C855DF"/>
    <w:rsid w:val="00C92A82"/>
    <w:rsid w:val="00C93F0D"/>
    <w:rsid w:val="00CA01F9"/>
    <w:rsid w:val="00CA188D"/>
    <w:rsid w:val="00CA47D5"/>
    <w:rsid w:val="00CA495D"/>
    <w:rsid w:val="00CB517C"/>
    <w:rsid w:val="00CB6929"/>
    <w:rsid w:val="00CB7E89"/>
    <w:rsid w:val="00CC1636"/>
    <w:rsid w:val="00CC17C4"/>
    <w:rsid w:val="00CC473D"/>
    <w:rsid w:val="00CC4AA8"/>
    <w:rsid w:val="00CC6DE8"/>
    <w:rsid w:val="00CD4077"/>
    <w:rsid w:val="00CD4A09"/>
    <w:rsid w:val="00CE6A3B"/>
    <w:rsid w:val="00CF2753"/>
    <w:rsid w:val="00D0037B"/>
    <w:rsid w:val="00D011B6"/>
    <w:rsid w:val="00D107A3"/>
    <w:rsid w:val="00D17B9B"/>
    <w:rsid w:val="00D32096"/>
    <w:rsid w:val="00D350CB"/>
    <w:rsid w:val="00D369EB"/>
    <w:rsid w:val="00D57776"/>
    <w:rsid w:val="00D70A56"/>
    <w:rsid w:val="00D718F4"/>
    <w:rsid w:val="00D74B0D"/>
    <w:rsid w:val="00D77967"/>
    <w:rsid w:val="00D80F51"/>
    <w:rsid w:val="00D81EDD"/>
    <w:rsid w:val="00D8220C"/>
    <w:rsid w:val="00D846ED"/>
    <w:rsid w:val="00D85304"/>
    <w:rsid w:val="00DA6088"/>
    <w:rsid w:val="00DB3245"/>
    <w:rsid w:val="00DB78DE"/>
    <w:rsid w:val="00DC50F0"/>
    <w:rsid w:val="00DC6473"/>
    <w:rsid w:val="00DC6FB4"/>
    <w:rsid w:val="00DD0C74"/>
    <w:rsid w:val="00DD1172"/>
    <w:rsid w:val="00DD390E"/>
    <w:rsid w:val="00DD5103"/>
    <w:rsid w:val="00DE268F"/>
    <w:rsid w:val="00DF5B02"/>
    <w:rsid w:val="00E017A9"/>
    <w:rsid w:val="00E07B64"/>
    <w:rsid w:val="00E13F71"/>
    <w:rsid w:val="00E16DAE"/>
    <w:rsid w:val="00E23026"/>
    <w:rsid w:val="00E235E1"/>
    <w:rsid w:val="00E52C36"/>
    <w:rsid w:val="00E54118"/>
    <w:rsid w:val="00E55046"/>
    <w:rsid w:val="00E63258"/>
    <w:rsid w:val="00E64B69"/>
    <w:rsid w:val="00E66175"/>
    <w:rsid w:val="00E6733A"/>
    <w:rsid w:val="00E70266"/>
    <w:rsid w:val="00E747B0"/>
    <w:rsid w:val="00E772DF"/>
    <w:rsid w:val="00E77356"/>
    <w:rsid w:val="00E773CB"/>
    <w:rsid w:val="00E838E0"/>
    <w:rsid w:val="00E86C22"/>
    <w:rsid w:val="00E900CF"/>
    <w:rsid w:val="00E918FE"/>
    <w:rsid w:val="00E95D6E"/>
    <w:rsid w:val="00EB29F4"/>
    <w:rsid w:val="00ED19F0"/>
    <w:rsid w:val="00ED47C1"/>
    <w:rsid w:val="00EE1857"/>
    <w:rsid w:val="00EE21DA"/>
    <w:rsid w:val="00EE23B8"/>
    <w:rsid w:val="00EE2D4F"/>
    <w:rsid w:val="00EE7722"/>
    <w:rsid w:val="00EF4B13"/>
    <w:rsid w:val="00F01B31"/>
    <w:rsid w:val="00F020A3"/>
    <w:rsid w:val="00F02FF5"/>
    <w:rsid w:val="00F053AA"/>
    <w:rsid w:val="00F21002"/>
    <w:rsid w:val="00F21C27"/>
    <w:rsid w:val="00F2258D"/>
    <w:rsid w:val="00F23456"/>
    <w:rsid w:val="00F25609"/>
    <w:rsid w:val="00F31216"/>
    <w:rsid w:val="00F40FB6"/>
    <w:rsid w:val="00F50831"/>
    <w:rsid w:val="00F530D2"/>
    <w:rsid w:val="00F54C87"/>
    <w:rsid w:val="00F7159E"/>
    <w:rsid w:val="00F72E63"/>
    <w:rsid w:val="00F9536F"/>
    <w:rsid w:val="00FA340E"/>
    <w:rsid w:val="00FA69A5"/>
    <w:rsid w:val="00FA7FD6"/>
    <w:rsid w:val="00FB2EC0"/>
    <w:rsid w:val="00FB3666"/>
    <w:rsid w:val="00FB4373"/>
    <w:rsid w:val="00FC59E4"/>
    <w:rsid w:val="00FC6165"/>
    <w:rsid w:val="00FC7B6C"/>
    <w:rsid w:val="00FD1AEB"/>
    <w:rsid w:val="00FD539C"/>
    <w:rsid w:val="00FE0669"/>
    <w:rsid w:val="00FE25CC"/>
    <w:rsid w:val="00FE4C5E"/>
    <w:rsid w:val="00FF08AB"/>
    <w:rsid w:val="016A4E33"/>
    <w:rsid w:val="05162586"/>
    <w:rsid w:val="0AFF1735"/>
    <w:rsid w:val="0B68755F"/>
    <w:rsid w:val="0BA42F41"/>
    <w:rsid w:val="0E232146"/>
    <w:rsid w:val="1509012B"/>
    <w:rsid w:val="15D51041"/>
    <w:rsid w:val="16B211F3"/>
    <w:rsid w:val="185A0AE3"/>
    <w:rsid w:val="18E7261A"/>
    <w:rsid w:val="1A6D7DB8"/>
    <w:rsid w:val="1BBA3994"/>
    <w:rsid w:val="1BDA0D4E"/>
    <w:rsid w:val="1D7A495F"/>
    <w:rsid w:val="1D8771C3"/>
    <w:rsid w:val="24154CAC"/>
    <w:rsid w:val="2A725B49"/>
    <w:rsid w:val="2AF276C3"/>
    <w:rsid w:val="2D5D199E"/>
    <w:rsid w:val="31A121B8"/>
    <w:rsid w:val="36AB73FC"/>
    <w:rsid w:val="36B75402"/>
    <w:rsid w:val="3A761764"/>
    <w:rsid w:val="3CC81005"/>
    <w:rsid w:val="3D6D188A"/>
    <w:rsid w:val="41DE5712"/>
    <w:rsid w:val="42AE3A3B"/>
    <w:rsid w:val="464D55E6"/>
    <w:rsid w:val="47035803"/>
    <w:rsid w:val="4AD16486"/>
    <w:rsid w:val="4B1C4C3D"/>
    <w:rsid w:val="4BB921C6"/>
    <w:rsid w:val="4C54004D"/>
    <w:rsid w:val="4E5E3C34"/>
    <w:rsid w:val="4FDA7B63"/>
    <w:rsid w:val="52A52166"/>
    <w:rsid w:val="5B3E381B"/>
    <w:rsid w:val="606002D9"/>
    <w:rsid w:val="615B17D5"/>
    <w:rsid w:val="61682A02"/>
    <w:rsid w:val="62004913"/>
    <w:rsid w:val="664D60D0"/>
    <w:rsid w:val="692C5D65"/>
    <w:rsid w:val="6977555D"/>
    <w:rsid w:val="6A925D3B"/>
    <w:rsid w:val="6C9017D3"/>
    <w:rsid w:val="6CFA606F"/>
    <w:rsid w:val="6FEC5C56"/>
    <w:rsid w:val="710A0F5D"/>
    <w:rsid w:val="77D739E2"/>
    <w:rsid w:val="78160C8B"/>
    <w:rsid w:val="792A5734"/>
    <w:rsid w:val="7AD71BAE"/>
    <w:rsid w:val="7EA52AF2"/>
    <w:rsid w:val="7ED4135D"/>
    <w:rsid w:val="7FA14A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uiPriority w:val="0"/>
    <w:pPr>
      <w:jc w:val="left"/>
    </w:pPr>
  </w:style>
  <w:style w:type="paragraph" w:styleId="3">
    <w:name w:val="Balloon Text"/>
    <w:basedOn w:val="1"/>
    <w:semiHidden/>
    <w:uiPriority w:val="0"/>
    <w:rPr>
      <w:sz w:val="18"/>
      <w:szCs w:val="18"/>
    </w:r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semiHidden/>
    <w:uiPriority w:val="0"/>
    <w:rPr>
      <w:b/>
      <w:bCs/>
    </w:rPr>
  </w:style>
  <w:style w:type="table" w:styleId="8">
    <w:name w:val="Table Grid"/>
    <w:basedOn w:val="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page number"/>
    <w:basedOn w:val="9"/>
    <w:uiPriority w:val="0"/>
  </w:style>
  <w:style w:type="character" w:styleId="11">
    <w:name w:val="annotation reference"/>
    <w:semiHidden/>
    <w:uiPriority w:val="0"/>
    <w:rPr>
      <w:sz w:val="21"/>
      <w:szCs w:val="21"/>
    </w:rPr>
  </w:style>
  <w:style w:type="paragraph" w:customStyle="1" w:styleId="12">
    <w:name w:val="默认"/>
    <w:qFormat/>
    <w:uiPriority w:val="0"/>
    <w:pPr>
      <w:framePr w:wrap="around" w:vAnchor="margin" w:hAnchor="text" w:yAlign="top"/>
    </w:pPr>
    <w:rPr>
      <w:rFonts w:hint="eastAsia" w:ascii="Arial Unicode MS" w:hAnsi="Arial Unicode MS" w:eastAsia="Arial Unicode MS" w:cs="Arial Unicode MS"/>
      <w:color w:val="000000"/>
      <w:sz w:val="22"/>
      <w:szCs w:val="22"/>
      <w:lang w:val="zh-CN" w:eastAsia="zh-CN" w:bidi="ar-SA"/>
    </w:rPr>
  </w:style>
  <w:style w:type="paragraph" w:customStyle="1" w:styleId="13">
    <w:name w:val="Defaul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11</Pages>
  <Words>576</Words>
  <Characters>3284</Characters>
  <Lines>27</Lines>
  <Paragraphs>7</Paragraphs>
  <TotalTime>50</TotalTime>
  <ScaleCrop>false</ScaleCrop>
  <LinksUpToDate>false</LinksUpToDate>
  <CharactersWithSpaces>3853</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2026-07-16T08:44:00Z</dcterms:created>
  <dc:creator>微软用户</dc:creator>
  <cp:lastModifiedBy>Administrator</cp:lastModifiedBy>
  <cp:lastPrinted>2019-08-29T07:15:00Z</cp:lastPrinted>
  <dcterms:modified xsi:type="dcterms:W3CDTF">2026-07-17T04:25:30Z</dcterms:modified>
  <dc:title>2013年度西藏自治区教育厅</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