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C55436">
      <w:pPr>
        <w:pStyle w:val="27"/>
        <w:spacing w:line="360" w:lineRule="auto"/>
        <w:jc w:val="both"/>
        <w:rPr>
          <w:rFonts w:ascii="Times New Roman" w:hAnsi="Times New Roman" w:eastAsia="微软雅黑" w:cs="方正仿宋_GB2312"/>
          <w:sz w:val="48"/>
          <w:szCs w:val="48"/>
          <w:lang w:eastAsia="zh-CN"/>
        </w:rPr>
      </w:pPr>
    </w:p>
    <w:p w14:paraId="6A3C8BA2">
      <w:pPr>
        <w:pStyle w:val="27"/>
        <w:spacing w:line="360" w:lineRule="auto"/>
        <w:jc w:val="both"/>
        <w:rPr>
          <w:rFonts w:ascii="Times New Roman" w:hAnsi="Times New Roman" w:eastAsia="微软雅黑" w:cs="方正仿宋_GB2312"/>
          <w:sz w:val="48"/>
          <w:szCs w:val="48"/>
          <w:lang w:eastAsia="zh-CN"/>
        </w:rPr>
      </w:pPr>
    </w:p>
    <w:p w14:paraId="2FC5B4E6">
      <w:pPr>
        <w:pStyle w:val="27"/>
        <w:spacing w:line="360" w:lineRule="auto"/>
        <w:jc w:val="both"/>
        <w:rPr>
          <w:rFonts w:ascii="Times New Roman" w:hAnsi="Times New Roman" w:eastAsia="微软雅黑" w:cs="方正仿宋_GB2312"/>
          <w:sz w:val="48"/>
          <w:szCs w:val="48"/>
          <w:lang w:eastAsia="zh-CN"/>
        </w:rPr>
      </w:pPr>
      <w:bookmarkStart w:id="577" w:name="_GoBack"/>
      <w:bookmarkEnd w:id="577"/>
    </w:p>
    <w:p w14:paraId="4EB9965F">
      <w:pPr>
        <w:pStyle w:val="27"/>
        <w:spacing w:line="360" w:lineRule="auto"/>
        <w:jc w:val="both"/>
        <w:rPr>
          <w:rFonts w:ascii="Times New Roman" w:hAnsi="Times New Roman" w:eastAsia="微软雅黑" w:cs="方正仿宋_GB2312"/>
          <w:sz w:val="48"/>
          <w:szCs w:val="48"/>
          <w:lang w:eastAsia="zh-CN"/>
        </w:rPr>
      </w:pPr>
    </w:p>
    <w:p w14:paraId="40CAAAE8">
      <w:pPr>
        <w:pStyle w:val="27"/>
        <w:spacing w:line="360" w:lineRule="auto"/>
        <w:jc w:val="center"/>
        <w:rPr>
          <w:rFonts w:ascii="Times New Roman" w:hAnsi="Times New Roman" w:eastAsia="微软雅黑" w:cs="方正仿宋_GB2312"/>
          <w:sz w:val="48"/>
          <w:szCs w:val="48"/>
          <w:lang w:eastAsia="zh-CN"/>
        </w:rPr>
      </w:pPr>
      <w:r>
        <w:rPr>
          <w:rFonts w:hint="eastAsia" w:ascii="Times New Roman" w:hAnsi="Times New Roman" w:eastAsia="微软雅黑" w:cs="方正仿宋_GB2312"/>
          <w:sz w:val="48"/>
          <w:szCs w:val="48"/>
          <w:lang w:eastAsia="zh-CN"/>
        </w:rPr>
        <w:t>那曲市特色产业目录（</w:t>
      </w:r>
      <w:r>
        <w:rPr>
          <w:rFonts w:ascii="Times New Roman" w:hAnsi="Times New Roman" w:eastAsia="微软雅黑" w:cs="Times New Roman"/>
          <w:sz w:val="48"/>
          <w:szCs w:val="48"/>
          <w:lang w:val="en-US" w:eastAsia="zh-CN"/>
        </w:rPr>
        <w:t>2026</w:t>
      </w:r>
      <w:r>
        <w:rPr>
          <w:rFonts w:hint="eastAsia" w:ascii="Times New Roman" w:hAnsi="Times New Roman" w:eastAsia="微软雅黑" w:cs="方正仿宋_GB2312"/>
          <w:sz w:val="48"/>
          <w:szCs w:val="48"/>
          <w:lang w:val="en-US" w:eastAsia="zh-CN"/>
        </w:rPr>
        <w:t>-</w:t>
      </w:r>
      <w:r>
        <w:rPr>
          <w:rFonts w:ascii="Times New Roman" w:hAnsi="Times New Roman" w:eastAsia="微软雅黑" w:cs="Times New Roman"/>
          <w:sz w:val="48"/>
          <w:szCs w:val="48"/>
          <w:lang w:val="en-US" w:eastAsia="zh-CN"/>
        </w:rPr>
        <w:t>2028</w:t>
      </w:r>
      <w:r>
        <w:rPr>
          <w:rFonts w:hint="eastAsia" w:ascii="Times New Roman" w:hAnsi="Times New Roman" w:eastAsia="微软雅黑" w:cs="方正仿宋_GB2312"/>
          <w:sz w:val="48"/>
          <w:szCs w:val="48"/>
          <w:lang w:eastAsia="zh-CN"/>
        </w:rPr>
        <w:t>）</w:t>
      </w:r>
    </w:p>
    <w:p w14:paraId="3A0B4B71">
      <w:pPr>
        <w:pStyle w:val="27"/>
        <w:spacing w:line="360" w:lineRule="auto"/>
        <w:jc w:val="center"/>
        <w:rPr>
          <w:rFonts w:ascii="Times New Roman" w:hAnsi="Times New Roman" w:eastAsia="方正楷体简体" w:cs="方正楷体简体"/>
          <w:sz w:val="44"/>
          <w:szCs w:val="40"/>
          <w:lang w:eastAsia="zh-CN"/>
        </w:rPr>
      </w:pPr>
      <w:r>
        <w:rPr>
          <w:rFonts w:hint="eastAsia" w:ascii="Times New Roman" w:hAnsi="Times New Roman" w:eastAsia="方正楷体简体" w:cs="方正楷体简体"/>
          <w:sz w:val="44"/>
          <w:szCs w:val="40"/>
          <w:lang w:eastAsia="zh-CN"/>
        </w:rPr>
        <w:t>（送</w:t>
      </w:r>
      <w:r>
        <w:rPr>
          <w:rFonts w:hint="eastAsia" w:ascii="Times New Roman" w:hAnsi="Times New Roman" w:eastAsia="方正楷体简体" w:cs="方正楷体简体"/>
          <w:sz w:val="44"/>
          <w:szCs w:val="40"/>
          <w:lang w:val="en-US" w:eastAsia="zh-CN"/>
        </w:rPr>
        <w:t>审</w:t>
      </w:r>
      <w:r>
        <w:rPr>
          <w:rFonts w:hint="eastAsia" w:ascii="Times New Roman" w:hAnsi="Times New Roman" w:eastAsia="方正楷体简体" w:cs="方正楷体简体"/>
          <w:sz w:val="44"/>
          <w:szCs w:val="40"/>
          <w:lang w:eastAsia="zh-CN"/>
        </w:rPr>
        <w:t>稿）</w:t>
      </w:r>
    </w:p>
    <w:p w14:paraId="5E59FAA0">
      <w:pPr>
        <w:pStyle w:val="27"/>
        <w:spacing w:line="360" w:lineRule="auto"/>
        <w:ind w:left="587" w:firstLine="480"/>
        <w:jc w:val="both"/>
        <w:rPr>
          <w:rFonts w:ascii="Times New Roman" w:hAnsi="Times New Roman" w:eastAsia="方正仿宋_GB2312" w:cs="方正仿宋_GB2312"/>
          <w:b/>
          <w:bCs/>
          <w:sz w:val="44"/>
          <w:szCs w:val="40"/>
          <w:lang w:eastAsia="zh-CN"/>
        </w:rPr>
      </w:pPr>
    </w:p>
    <w:p w14:paraId="3CF0BE64">
      <w:pPr>
        <w:pStyle w:val="27"/>
        <w:spacing w:line="360" w:lineRule="auto"/>
        <w:ind w:left="587" w:firstLine="480"/>
        <w:jc w:val="both"/>
        <w:rPr>
          <w:rFonts w:ascii="Times New Roman" w:hAnsi="Times New Roman" w:eastAsia="方正仿宋_GB2312" w:cs="方正仿宋_GB2312"/>
          <w:b/>
          <w:bCs/>
          <w:sz w:val="44"/>
          <w:szCs w:val="40"/>
          <w:lang w:eastAsia="zh-CN"/>
        </w:rPr>
      </w:pPr>
    </w:p>
    <w:p w14:paraId="7AC4DC3D">
      <w:pPr>
        <w:pStyle w:val="27"/>
        <w:spacing w:line="360" w:lineRule="auto"/>
        <w:ind w:left="587" w:firstLine="480"/>
        <w:jc w:val="both"/>
        <w:rPr>
          <w:rFonts w:ascii="Times New Roman" w:hAnsi="Times New Roman" w:eastAsia="方正仿宋_GB2312" w:cs="方正仿宋_GB2312"/>
          <w:b/>
          <w:bCs/>
          <w:sz w:val="44"/>
          <w:szCs w:val="40"/>
          <w:lang w:eastAsia="zh-CN"/>
        </w:rPr>
      </w:pPr>
    </w:p>
    <w:p w14:paraId="6D420F29">
      <w:pPr>
        <w:pStyle w:val="27"/>
        <w:spacing w:line="360" w:lineRule="auto"/>
        <w:jc w:val="both"/>
        <w:rPr>
          <w:rFonts w:ascii="Times New Roman" w:hAnsi="Times New Roman" w:eastAsia="方正仿宋_GB2312" w:cs="方正仿宋_GB2312"/>
          <w:b/>
          <w:bCs/>
          <w:sz w:val="44"/>
          <w:szCs w:val="40"/>
          <w:lang w:eastAsia="zh-CN"/>
        </w:rPr>
      </w:pPr>
    </w:p>
    <w:p w14:paraId="1A4C939B">
      <w:pPr>
        <w:pStyle w:val="27"/>
        <w:spacing w:line="360" w:lineRule="auto"/>
        <w:ind w:left="587" w:firstLine="480"/>
        <w:jc w:val="both"/>
        <w:rPr>
          <w:rFonts w:ascii="Times New Roman" w:hAnsi="Times New Roman" w:eastAsia="方正仿宋_GB2312" w:cs="方正仿宋_GB2312"/>
          <w:b/>
          <w:bCs/>
          <w:sz w:val="44"/>
          <w:szCs w:val="40"/>
          <w:lang w:eastAsia="zh-CN"/>
        </w:rPr>
      </w:pPr>
    </w:p>
    <w:p w14:paraId="06C75098">
      <w:pPr>
        <w:pStyle w:val="27"/>
        <w:spacing w:line="360" w:lineRule="auto"/>
        <w:ind w:left="587" w:firstLine="480"/>
        <w:jc w:val="both"/>
        <w:rPr>
          <w:rFonts w:ascii="Times New Roman" w:hAnsi="Times New Roman" w:eastAsia="方正仿宋_GB2312" w:cs="方正仿宋_GB2312"/>
          <w:b/>
          <w:bCs/>
          <w:sz w:val="44"/>
          <w:szCs w:val="40"/>
          <w:lang w:eastAsia="zh-CN"/>
        </w:rPr>
      </w:pPr>
    </w:p>
    <w:p w14:paraId="276B7BEF">
      <w:pPr>
        <w:pStyle w:val="27"/>
        <w:spacing w:line="360" w:lineRule="auto"/>
        <w:ind w:left="587" w:firstLine="480"/>
        <w:jc w:val="both"/>
        <w:rPr>
          <w:rFonts w:ascii="Times New Roman" w:hAnsi="Times New Roman" w:eastAsia="方正仿宋_GB2312" w:cs="方正仿宋_GB2312"/>
          <w:b/>
          <w:bCs/>
          <w:sz w:val="44"/>
          <w:szCs w:val="40"/>
          <w:lang w:eastAsia="zh-CN"/>
        </w:rPr>
      </w:pPr>
    </w:p>
    <w:p w14:paraId="617E59D0">
      <w:pPr>
        <w:pStyle w:val="27"/>
        <w:spacing w:line="360" w:lineRule="auto"/>
        <w:ind w:left="587" w:firstLine="480"/>
        <w:jc w:val="both"/>
        <w:rPr>
          <w:rFonts w:ascii="Times New Roman" w:hAnsi="Times New Roman" w:eastAsia="方正仿宋_GB2312" w:cs="方正仿宋_GB2312"/>
          <w:b/>
          <w:bCs/>
          <w:sz w:val="44"/>
          <w:szCs w:val="40"/>
          <w:lang w:eastAsia="zh-CN"/>
        </w:rPr>
      </w:pPr>
    </w:p>
    <w:p w14:paraId="4748602C">
      <w:pPr>
        <w:pStyle w:val="27"/>
        <w:spacing w:line="360" w:lineRule="auto"/>
        <w:ind w:left="587" w:firstLine="480"/>
        <w:jc w:val="both"/>
        <w:rPr>
          <w:rFonts w:ascii="Times New Roman" w:hAnsi="Times New Roman" w:eastAsia="方正仿宋_GB2312" w:cs="方正仿宋_GB2312"/>
          <w:b/>
          <w:bCs/>
          <w:sz w:val="44"/>
          <w:szCs w:val="40"/>
          <w:lang w:eastAsia="zh-CN"/>
        </w:rPr>
      </w:pPr>
    </w:p>
    <w:p w14:paraId="3E9E4922">
      <w:pPr>
        <w:pStyle w:val="27"/>
        <w:spacing w:line="360" w:lineRule="auto"/>
        <w:ind w:left="587" w:firstLine="480"/>
        <w:jc w:val="both"/>
        <w:rPr>
          <w:rFonts w:ascii="Times New Roman" w:hAnsi="Times New Roman" w:eastAsia="方正仿宋_GB2312" w:cs="方正仿宋_GB2312"/>
          <w:b/>
          <w:bCs/>
          <w:sz w:val="44"/>
          <w:szCs w:val="40"/>
          <w:lang w:eastAsia="zh-CN"/>
        </w:rPr>
      </w:pPr>
    </w:p>
    <w:p w14:paraId="59686C53">
      <w:pPr>
        <w:pStyle w:val="27"/>
        <w:spacing w:line="360" w:lineRule="auto"/>
        <w:ind w:left="587" w:firstLine="480"/>
        <w:jc w:val="both"/>
        <w:rPr>
          <w:rFonts w:ascii="Times New Roman" w:hAnsi="Times New Roman" w:eastAsia="方正仿宋_GB2312" w:cs="方正仿宋_GB2312"/>
          <w:b/>
          <w:bCs/>
          <w:sz w:val="44"/>
          <w:szCs w:val="40"/>
          <w:lang w:eastAsia="zh-CN"/>
        </w:rPr>
      </w:pPr>
    </w:p>
    <w:p w14:paraId="1610973A">
      <w:pPr>
        <w:pStyle w:val="27"/>
        <w:spacing w:line="360" w:lineRule="auto"/>
        <w:jc w:val="center"/>
        <w:rPr>
          <w:rFonts w:ascii="Times New Roman" w:hAnsi="Times New Roman" w:eastAsia="方正黑体简体" w:cs="方正黑体简体"/>
          <w:sz w:val="32"/>
          <w:szCs w:val="32"/>
          <w:lang w:eastAsia="zh-CN"/>
        </w:rPr>
      </w:pPr>
      <w:r>
        <w:rPr>
          <w:rFonts w:hint="eastAsia" w:ascii="Times New Roman" w:hAnsi="Times New Roman" w:eastAsia="方正黑体简体" w:cs="方正黑体简体"/>
          <w:sz w:val="32"/>
          <w:szCs w:val="32"/>
          <w:lang w:eastAsia="zh-CN"/>
        </w:rPr>
        <w:t>那曲市特色产业发展局</w:t>
      </w:r>
    </w:p>
    <w:p w14:paraId="15865534">
      <w:pPr>
        <w:pStyle w:val="27"/>
        <w:spacing w:line="360" w:lineRule="auto"/>
        <w:jc w:val="center"/>
        <w:rPr>
          <w:rFonts w:ascii="Times New Roman" w:hAnsi="Times New Roman" w:eastAsia="方正黑体简体" w:cs="方正黑体简体"/>
          <w:spacing w:val="-2"/>
          <w:sz w:val="32"/>
          <w:szCs w:val="32"/>
          <w:lang w:eastAsia="zh-CN"/>
        </w:rPr>
      </w:pPr>
      <w:r>
        <w:rPr>
          <w:rFonts w:hint="eastAsia" w:ascii="Times New Roman" w:hAnsi="Times New Roman" w:eastAsia="方正黑体简体" w:cs="方正黑体简体"/>
          <w:sz w:val="32"/>
          <w:szCs w:val="32"/>
          <w:lang w:eastAsia="zh-CN"/>
        </w:rPr>
        <w:t>西藏大学经济与管理学院</w:t>
      </w:r>
    </w:p>
    <w:p w14:paraId="5D7F6A28">
      <w:pPr>
        <w:pStyle w:val="27"/>
        <w:tabs>
          <w:tab w:val="left" w:pos="1248"/>
        </w:tabs>
        <w:spacing w:line="360" w:lineRule="auto"/>
        <w:jc w:val="both"/>
        <w:rPr>
          <w:rFonts w:ascii="Times New Roman" w:hAnsi="Times New Roman" w:eastAsia="方正黑体简体" w:cs="方正黑体简体"/>
          <w:spacing w:val="-2"/>
          <w:sz w:val="32"/>
          <w:szCs w:val="32"/>
          <w:lang w:eastAsia="zh-CN"/>
        </w:rPr>
      </w:pPr>
    </w:p>
    <w:p w14:paraId="00ABB9FC">
      <w:pPr>
        <w:pStyle w:val="27"/>
        <w:tabs>
          <w:tab w:val="left" w:pos="1248"/>
        </w:tabs>
        <w:spacing w:line="360" w:lineRule="auto"/>
        <w:jc w:val="both"/>
        <w:rPr>
          <w:rFonts w:ascii="Times New Roman" w:hAnsi="Times New Roman" w:eastAsia="方正黑体简体" w:cs="方正黑体简体"/>
          <w:spacing w:val="-2"/>
          <w:sz w:val="32"/>
          <w:szCs w:val="32"/>
          <w:lang w:eastAsia="zh-CN"/>
        </w:rPr>
        <w:sectPr>
          <w:pgSz w:w="11906" w:h="16838"/>
          <w:pgMar w:top="2098" w:right="1474" w:bottom="1984" w:left="1587" w:header="851" w:footer="992" w:gutter="0"/>
          <w:pgNumType w:fmt="decimal"/>
          <w:cols w:space="425" w:num="1"/>
          <w:docGrid w:type="lines" w:linePitch="312" w:charSpace="0"/>
        </w:sectPr>
      </w:pPr>
    </w:p>
    <w:p w14:paraId="7C185832">
      <w:pPr>
        <w:pStyle w:val="27"/>
        <w:tabs>
          <w:tab w:val="left" w:pos="1248"/>
        </w:tabs>
        <w:spacing w:line="360" w:lineRule="exact"/>
        <w:jc w:val="center"/>
        <w:rPr>
          <w:rFonts w:ascii="Times New Roman" w:hAnsi="Times New Roman" w:eastAsia="方正黑体简体" w:cs="方正黑体简体"/>
          <w:spacing w:val="-2"/>
          <w:sz w:val="36"/>
          <w:szCs w:val="36"/>
          <w:lang w:eastAsia="zh-CN"/>
        </w:rPr>
      </w:pPr>
      <w:r>
        <w:rPr>
          <w:rFonts w:hint="eastAsia" w:ascii="Times New Roman" w:hAnsi="Times New Roman" w:eastAsia="方正黑体简体" w:cs="方正黑体简体"/>
          <w:spacing w:val="-2"/>
          <w:sz w:val="36"/>
          <w:szCs w:val="36"/>
          <w:lang w:eastAsia="zh-CN"/>
        </w:rPr>
        <w:t>目录</w:t>
      </w:r>
    </w:p>
    <w:p w14:paraId="7BA5178E">
      <w:pPr>
        <w:pStyle w:val="14"/>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hint="eastAsia" w:ascii="Times New Roman" w:hAnsi="Times New Roman" w:eastAsia="方正仿宋简体" w:cs="方正黑体简体"/>
          <w:spacing w:val="-2"/>
          <w:sz w:val="28"/>
          <w:szCs w:val="28"/>
        </w:rPr>
        <w:fldChar w:fldCharType="begin"/>
      </w:r>
      <w:r>
        <w:rPr>
          <w:rFonts w:hint="eastAsia" w:ascii="Times New Roman" w:hAnsi="Times New Roman" w:eastAsia="方正仿宋简体" w:cs="方正黑体简体"/>
          <w:spacing w:val="-2"/>
          <w:sz w:val="28"/>
          <w:szCs w:val="28"/>
        </w:rPr>
        <w:instrText xml:space="preserve"> TOC \o "1-3" \h \z \u </w:instrText>
      </w:r>
      <w:r>
        <w:rPr>
          <w:rFonts w:hint="eastAsia" w:ascii="Times New Roman" w:hAnsi="Times New Roman" w:eastAsia="方正仿宋简体" w:cs="方正黑体简体"/>
          <w:spacing w:val="-2"/>
          <w:sz w:val="28"/>
          <w:szCs w:val="28"/>
        </w:rPr>
        <w:fldChar w:fldCharType="separate"/>
      </w:r>
      <w:r>
        <w:rPr>
          <w:rFonts w:ascii="Times New Roman" w:hAnsi="Times New Roman"/>
          <w:sz w:val="28"/>
          <w:szCs w:val="28"/>
        </w:rPr>
        <w:fldChar w:fldCharType="begin"/>
      </w:r>
      <w:r>
        <w:rPr>
          <w:rFonts w:ascii="Times New Roman" w:hAnsi="Times New Roman"/>
          <w:sz w:val="28"/>
          <w:szCs w:val="28"/>
        </w:rPr>
        <w:instrText xml:space="preserve"> HYPERLINK \l "_Toc243241378" </w:instrText>
      </w:r>
      <w:r>
        <w:rPr>
          <w:rFonts w:ascii="Times New Roman" w:hAnsi="Times New Roman"/>
          <w:sz w:val="28"/>
          <w:szCs w:val="28"/>
        </w:rPr>
        <w:fldChar w:fldCharType="separate"/>
      </w:r>
      <w:r>
        <w:rPr>
          <w:rStyle w:val="25"/>
          <w:rFonts w:hint="eastAsia" w:ascii="Times New Roman" w:hAnsi="Times New Roman" w:eastAsia="方正小标宋简体" w:cs="方正小标宋简体"/>
          <w:bCs/>
          <w:sz w:val="28"/>
          <w:szCs w:val="28"/>
          <w:lang w:eastAsia="zh-CN"/>
        </w:rPr>
        <w:t>前言</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_Toc243241378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07859D66">
      <w:pPr>
        <w:pStyle w:val="14"/>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"_Toc243241379" </w:instrText>
      </w:r>
      <w:r>
        <w:rPr>
          <w:rFonts w:ascii="Times New Roman" w:hAnsi="Times New Roman"/>
          <w:sz w:val="28"/>
          <w:szCs w:val="28"/>
        </w:rPr>
        <w:fldChar w:fldCharType="separate"/>
      </w:r>
      <w:r>
        <w:rPr>
          <w:rStyle w:val="25"/>
          <w:rFonts w:hint="eastAsia" w:ascii="Times New Roman" w:hAnsi="Times New Roman"/>
          <w:b/>
          <w:spacing w:val="-2"/>
          <w:sz w:val="28"/>
          <w:szCs w:val="28"/>
        </w:rPr>
        <w:t>第一章</w:t>
      </w:r>
      <w:r>
        <w:rPr>
          <w:rStyle w:val="25"/>
          <w:rFonts w:hint="eastAsia" w:ascii="Times New Roman" w:hAnsi="Times New Roman" w:eastAsia="方正小标宋简体" w:cs="方正仿宋简体"/>
          <w:b/>
          <w:spacing w:val="-2"/>
          <w:sz w:val="28"/>
          <w:szCs w:val="28"/>
          <w:lang w:val="en-US" w:eastAsia="zh-CN"/>
        </w:rPr>
        <w:t xml:space="preserve"> </w:t>
      </w:r>
      <w:r>
        <w:rPr>
          <w:rStyle w:val="25"/>
          <w:rFonts w:hint="eastAsia" w:ascii="Times New Roman" w:hAnsi="Times New Roman"/>
          <w:b/>
          <w:spacing w:val="-2"/>
          <w:sz w:val="28"/>
          <w:szCs w:val="28"/>
        </w:rPr>
        <w:t>绪论</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_Toc243241379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3</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2BF3FA71">
      <w:pPr>
        <w:pStyle w:val="14"/>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"_Toc243241380" </w:instrText>
      </w:r>
      <w:r>
        <w:rPr>
          <w:rFonts w:ascii="Times New Roman" w:hAnsi="Times New Roman"/>
          <w:sz w:val="28"/>
          <w:szCs w:val="28"/>
        </w:rPr>
        <w:fldChar w:fldCharType="separate"/>
      </w:r>
      <w:r>
        <w:rPr>
          <w:rStyle w:val="25"/>
          <w:rFonts w:hint="eastAsia" w:ascii="Times New Roman" w:hAnsi="Times New Roman" w:eastAsia="方正黑体简体" w:cs="方正仿宋简体"/>
          <w:bCs/>
          <w:sz w:val="28"/>
          <w:szCs w:val="28"/>
          <w:lang w:val="en-US" w:eastAsia="zh-CN"/>
        </w:rPr>
        <w:t>一、</w:t>
      </w:r>
      <w:r>
        <w:rPr>
          <w:rStyle w:val="25"/>
          <w:rFonts w:hint="eastAsia" w:ascii="Times New Roman" w:hAnsi="Times New Roman" w:eastAsia="方正黑体简体" w:cs="方正仿宋简体"/>
          <w:bCs/>
          <w:sz w:val="28"/>
          <w:szCs w:val="28"/>
        </w:rPr>
        <w:t>编制背景</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_Toc243241380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3</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49DB9738">
      <w:pPr>
        <w:pStyle w:val="14"/>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"_Toc243241381" </w:instrText>
      </w:r>
      <w:r>
        <w:rPr>
          <w:rFonts w:ascii="Times New Roman" w:hAnsi="Times New Roman"/>
          <w:sz w:val="28"/>
          <w:szCs w:val="28"/>
        </w:rPr>
        <w:fldChar w:fldCharType="separate"/>
      </w:r>
      <w:r>
        <w:rPr>
          <w:rStyle w:val="25"/>
          <w:rFonts w:hint="eastAsia" w:ascii="Times New Roman" w:hAnsi="Times New Roman" w:eastAsia="方正黑体简体" w:cs="方正仿宋简体"/>
          <w:sz w:val="28"/>
          <w:szCs w:val="28"/>
          <w:lang w:val="en-US" w:eastAsia="zh-CN"/>
        </w:rPr>
        <w:t>二、总体要求</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_Toc243241381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6</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084514D7">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"_Toc243241382" </w:instrText>
      </w:r>
      <w:r>
        <w:rPr>
          <w:rFonts w:ascii="Times New Roman" w:hAnsi="Times New Roman"/>
          <w:sz w:val="28"/>
          <w:szCs w:val="28"/>
        </w:rPr>
        <w:fldChar w:fldCharType="separate"/>
      </w:r>
      <w:r>
        <w:rPr>
          <w:rStyle w:val="25"/>
          <w:rFonts w:hint="eastAsia" w:ascii="Times New Roman" w:hAnsi="Times New Roman" w:eastAsia="方正楷体简体" w:cs="方正仿宋简体"/>
          <w:sz w:val="28"/>
          <w:szCs w:val="28"/>
          <w:lang w:eastAsia="zh-CN"/>
        </w:rPr>
        <w:t>（</w:t>
      </w:r>
      <w:r>
        <w:rPr>
          <w:rStyle w:val="25"/>
          <w:rFonts w:hint="eastAsia" w:ascii="Times New Roman" w:hAnsi="Times New Roman" w:eastAsia="方正楷体简体" w:cs="方正仿宋简体"/>
          <w:sz w:val="28"/>
          <w:szCs w:val="28"/>
          <w:lang w:val="en-US" w:eastAsia="zh-CN"/>
        </w:rPr>
        <w:t>一</w:t>
      </w:r>
      <w:r>
        <w:rPr>
          <w:rStyle w:val="25"/>
          <w:rFonts w:hint="eastAsia" w:ascii="Times New Roman" w:hAnsi="Times New Roman" w:eastAsia="方正楷体简体" w:cs="方正仿宋简体"/>
          <w:sz w:val="28"/>
          <w:szCs w:val="28"/>
          <w:lang w:eastAsia="zh-CN"/>
        </w:rPr>
        <w:t>）</w:t>
      </w:r>
      <w:r>
        <w:rPr>
          <w:rStyle w:val="25"/>
          <w:rFonts w:hint="eastAsia" w:ascii="Times New Roman" w:hAnsi="Times New Roman" w:eastAsia="方正楷体简体" w:cs="方正仿宋简体"/>
          <w:sz w:val="28"/>
          <w:szCs w:val="28"/>
          <w:lang w:val="en-US" w:eastAsia="zh-CN"/>
        </w:rPr>
        <w:t>指导思想</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_Toc243241382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6</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5D3D393F">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"_Toc243241383" </w:instrText>
      </w:r>
      <w:r>
        <w:rPr>
          <w:rFonts w:ascii="Times New Roman" w:hAnsi="Times New Roman"/>
          <w:sz w:val="28"/>
          <w:szCs w:val="28"/>
        </w:rPr>
        <w:fldChar w:fldCharType="separate"/>
      </w:r>
      <w:r>
        <w:rPr>
          <w:rStyle w:val="25"/>
          <w:rFonts w:hint="eastAsia" w:ascii="Times New Roman" w:hAnsi="Times New Roman" w:eastAsia="方正楷体简体" w:cs="方正仿宋简体"/>
          <w:sz w:val="28"/>
          <w:szCs w:val="28"/>
          <w:lang w:eastAsia="zh-CN"/>
        </w:rPr>
        <w:t>（</w:t>
      </w:r>
      <w:r>
        <w:rPr>
          <w:rStyle w:val="25"/>
          <w:rFonts w:hint="eastAsia" w:ascii="Times New Roman" w:hAnsi="Times New Roman" w:eastAsia="方正楷体简体" w:cs="方正仿宋简体"/>
          <w:sz w:val="28"/>
          <w:szCs w:val="28"/>
          <w:lang w:val="en-US" w:eastAsia="zh-CN"/>
        </w:rPr>
        <w:t>二</w:t>
      </w:r>
      <w:r>
        <w:rPr>
          <w:rStyle w:val="25"/>
          <w:rFonts w:hint="eastAsia" w:ascii="Times New Roman" w:hAnsi="Times New Roman" w:eastAsia="方正楷体简体" w:cs="方正仿宋简体"/>
          <w:sz w:val="28"/>
          <w:szCs w:val="28"/>
          <w:lang w:eastAsia="zh-CN"/>
        </w:rPr>
        <w:t>）</w:t>
      </w:r>
      <w:r>
        <w:rPr>
          <w:rStyle w:val="25"/>
          <w:rFonts w:hint="eastAsia" w:ascii="Times New Roman" w:hAnsi="Times New Roman" w:eastAsia="方正楷体简体" w:cs="方正仿宋简体"/>
          <w:sz w:val="28"/>
          <w:szCs w:val="28"/>
          <w:lang w:val="en-US" w:eastAsia="zh-CN"/>
        </w:rPr>
        <w:t>目的与意义</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_Toc243241383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6</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10CA081F">
      <w:pPr>
        <w:pStyle w:val="14"/>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"_Toc243241384" </w:instrText>
      </w:r>
      <w:r>
        <w:rPr>
          <w:rFonts w:ascii="Times New Roman" w:hAnsi="Times New Roman"/>
          <w:sz w:val="28"/>
          <w:szCs w:val="28"/>
        </w:rPr>
        <w:fldChar w:fldCharType="separate"/>
      </w:r>
      <w:r>
        <w:rPr>
          <w:rStyle w:val="25"/>
          <w:rFonts w:hint="eastAsia" w:ascii="Times New Roman" w:hAnsi="Times New Roman" w:eastAsia="方正黑体简体" w:cs="方正仿宋简体"/>
          <w:sz w:val="28"/>
          <w:szCs w:val="28"/>
          <w:lang w:val="en-US" w:eastAsia="zh-CN"/>
        </w:rPr>
        <w:t>三、编制原则</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_Toc243241384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9</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31A645C2">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"_Toc243241385" </w:instrText>
      </w:r>
      <w:r>
        <w:rPr>
          <w:rFonts w:ascii="Times New Roman" w:hAnsi="Times New Roman"/>
          <w:sz w:val="28"/>
          <w:szCs w:val="28"/>
        </w:rPr>
        <w:fldChar w:fldCharType="separate"/>
      </w:r>
      <w:r>
        <w:rPr>
          <w:rStyle w:val="25"/>
          <w:rFonts w:hint="eastAsia" w:ascii="Times New Roman" w:hAnsi="Times New Roman" w:eastAsia="方正楷体简体" w:cs="方正仿宋简体"/>
          <w:sz w:val="28"/>
          <w:szCs w:val="28"/>
        </w:rPr>
        <w:t>（一）生态优先，绿色可持续发展原则</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_Toc243241385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9</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52CEFBAB">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"_Toc243241386" </w:instrText>
      </w:r>
      <w:r>
        <w:rPr>
          <w:rFonts w:ascii="Times New Roman" w:hAnsi="Times New Roman"/>
          <w:sz w:val="28"/>
          <w:szCs w:val="28"/>
        </w:rPr>
        <w:fldChar w:fldCharType="separate"/>
      </w:r>
      <w:r>
        <w:rPr>
          <w:rStyle w:val="25"/>
          <w:rFonts w:hint="eastAsia" w:ascii="Times New Roman" w:hAnsi="Times New Roman" w:eastAsia="方正楷体简体" w:cs="方正仿宋简体"/>
          <w:sz w:val="28"/>
          <w:szCs w:val="28"/>
        </w:rPr>
        <w:t>（二）市场主导，政府精准引导原则</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_Toc243241386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9</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6999A0F1">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"_Toc243241387" </w:instrText>
      </w:r>
      <w:r>
        <w:rPr>
          <w:rFonts w:ascii="Times New Roman" w:hAnsi="Times New Roman"/>
          <w:sz w:val="28"/>
          <w:szCs w:val="28"/>
        </w:rPr>
        <w:fldChar w:fldCharType="separate"/>
      </w:r>
      <w:r>
        <w:rPr>
          <w:rStyle w:val="25"/>
          <w:rFonts w:hint="eastAsia" w:ascii="Times New Roman" w:hAnsi="Times New Roman" w:eastAsia="方正楷体简体" w:cs="方正仿宋简体"/>
          <w:sz w:val="28"/>
          <w:szCs w:val="28"/>
        </w:rPr>
        <w:t>（三）特色引领，错位协同发展原则</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_Toc243241387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10</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45C024E0">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"_Toc243241388" </w:instrText>
      </w:r>
      <w:r>
        <w:rPr>
          <w:rFonts w:ascii="Times New Roman" w:hAnsi="Times New Roman"/>
          <w:sz w:val="28"/>
          <w:szCs w:val="28"/>
        </w:rPr>
        <w:fldChar w:fldCharType="separate"/>
      </w:r>
      <w:r>
        <w:rPr>
          <w:rStyle w:val="25"/>
          <w:rFonts w:hint="eastAsia" w:ascii="Times New Roman" w:hAnsi="Times New Roman" w:eastAsia="方正楷体简体" w:cs="方正仿宋简体"/>
          <w:sz w:val="28"/>
          <w:szCs w:val="28"/>
        </w:rPr>
        <w:t>（四）科技驱动，创新赋能发展原则</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_Toc243241388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10</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775391B8">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"_Toc243241389" </w:instrText>
      </w:r>
      <w:r>
        <w:rPr>
          <w:rFonts w:ascii="Times New Roman" w:hAnsi="Times New Roman"/>
          <w:sz w:val="28"/>
          <w:szCs w:val="28"/>
        </w:rPr>
        <w:fldChar w:fldCharType="separate"/>
      </w:r>
      <w:r>
        <w:rPr>
          <w:rStyle w:val="25"/>
          <w:rFonts w:hint="eastAsia" w:ascii="Times New Roman" w:hAnsi="Times New Roman" w:eastAsia="方正楷体简体" w:cs="方正仿宋简体"/>
          <w:sz w:val="28"/>
          <w:szCs w:val="28"/>
        </w:rPr>
        <w:t>（五）民生为本，共建共享发展原则</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_Toc243241389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10</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5C0A32B5">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"_Toc243241390" </w:instrText>
      </w:r>
      <w:r>
        <w:rPr>
          <w:rFonts w:ascii="Times New Roman" w:hAnsi="Times New Roman"/>
          <w:sz w:val="28"/>
          <w:szCs w:val="28"/>
        </w:rPr>
        <w:fldChar w:fldCharType="separate"/>
      </w:r>
      <w:r>
        <w:rPr>
          <w:rStyle w:val="25"/>
          <w:rFonts w:hint="eastAsia" w:ascii="Times New Roman" w:hAnsi="Times New Roman" w:eastAsia="方正楷体简体" w:cs="方正仿宋简体"/>
          <w:sz w:val="28"/>
          <w:szCs w:val="28"/>
        </w:rPr>
        <w:t>（六）动态调整，循序渐进原则</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_Toc243241390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11</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0E483521">
      <w:pPr>
        <w:pStyle w:val="14"/>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"_Toc243241391" </w:instrText>
      </w:r>
      <w:r>
        <w:rPr>
          <w:rFonts w:ascii="Times New Roman" w:hAnsi="Times New Roman"/>
          <w:sz w:val="28"/>
          <w:szCs w:val="28"/>
        </w:rPr>
        <w:fldChar w:fldCharType="separate"/>
      </w:r>
      <w:r>
        <w:rPr>
          <w:rStyle w:val="25"/>
          <w:rFonts w:hint="eastAsia" w:ascii="Times New Roman" w:hAnsi="Times New Roman" w:eastAsia="方正黑体简体" w:cs="方正仿宋简体"/>
          <w:sz w:val="28"/>
          <w:szCs w:val="28"/>
          <w:lang w:val="en-US" w:eastAsia="zh-CN"/>
        </w:rPr>
        <w:t>四、主要支撑体系</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_Toc243241391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11</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032AF1A2">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"_Toc243241392" </w:instrText>
      </w:r>
      <w:r>
        <w:rPr>
          <w:rFonts w:ascii="Times New Roman" w:hAnsi="Times New Roman"/>
          <w:sz w:val="28"/>
          <w:szCs w:val="28"/>
        </w:rPr>
        <w:fldChar w:fldCharType="separate"/>
      </w:r>
      <w:r>
        <w:rPr>
          <w:rStyle w:val="25"/>
          <w:rFonts w:hint="eastAsia" w:ascii="Times New Roman" w:hAnsi="Times New Roman" w:eastAsia="方正楷体简体" w:cs="方正仿宋简体"/>
          <w:sz w:val="28"/>
          <w:szCs w:val="28"/>
        </w:rPr>
        <w:t>（一）政策规划支撑</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_Toc243241392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11</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218481A3">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"_Toc243241393" </w:instrText>
      </w:r>
      <w:r>
        <w:rPr>
          <w:rFonts w:ascii="Times New Roman" w:hAnsi="Times New Roman"/>
          <w:sz w:val="28"/>
          <w:szCs w:val="28"/>
        </w:rPr>
        <w:fldChar w:fldCharType="separate"/>
      </w:r>
      <w:r>
        <w:rPr>
          <w:rStyle w:val="25"/>
          <w:rFonts w:hint="eastAsia" w:ascii="Times New Roman" w:hAnsi="Times New Roman" w:eastAsia="方正楷体简体" w:cs="方正仿宋简体"/>
          <w:sz w:val="28"/>
          <w:szCs w:val="28"/>
        </w:rPr>
        <w:t>（二）产业基础支撑</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_Toc243241393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12</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736DFD04">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"_Toc243241394" </w:instrText>
      </w:r>
      <w:r>
        <w:rPr>
          <w:rFonts w:ascii="Times New Roman" w:hAnsi="Times New Roman"/>
          <w:sz w:val="28"/>
          <w:szCs w:val="28"/>
        </w:rPr>
        <w:fldChar w:fldCharType="separate"/>
      </w:r>
      <w:r>
        <w:rPr>
          <w:rStyle w:val="25"/>
          <w:rFonts w:hint="eastAsia" w:ascii="Times New Roman" w:hAnsi="Times New Roman" w:eastAsia="方正楷体简体" w:cs="方正仿宋简体"/>
          <w:sz w:val="28"/>
          <w:szCs w:val="28"/>
        </w:rPr>
        <w:t>（三）资源禀赋支撑</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_Toc243241394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12</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5D907923">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"_Toc243241395" </w:instrText>
      </w:r>
      <w:r>
        <w:rPr>
          <w:rFonts w:ascii="Times New Roman" w:hAnsi="Times New Roman"/>
          <w:sz w:val="28"/>
          <w:szCs w:val="28"/>
        </w:rPr>
        <w:fldChar w:fldCharType="separate"/>
      </w:r>
      <w:r>
        <w:rPr>
          <w:rStyle w:val="25"/>
          <w:rFonts w:hint="eastAsia" w:ascii="Times New Roman" w:hAnsi="Times New Roman" w:eastAsia="方正楷体简体" w:cs="方正仿宋简体"/>
          <w:sz w:val="28"/>
          <w:szCs w:val="28"/>
        </w:rPr>
        <w:t>（四）科技创新支撑</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_Toc243241395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12</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0A842922">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"_Toc243241396" </w:instrText>
      </w:r>
      <w:r>
        <w:rPr>
          <w:rFonts w:ascii="Times New Roman" w:hAnsi="Times New Roman"/>
          <w:sz w:val="28"/>
          <w:szCs w:val="28"/>
        </w:rPr>
        <w:fldChar w:fldCharType="separate"/>
      </w:r>
      <w:r>
        <w:rPr>
          <w:rStyle w:val="25"/>
          <w:rFonts w:hint="eastAsia" w:ascii="Times New Roman" w:hAnsi="Times New Roman" w:eastAsia="方正楷体简体" w:cs="方正仿宋简体"/>
          <w:sz w:val="28"/>
          <w:szCs w:val="28"/>
        </w:rPr>
        <w:t>（五）市场主体支撑</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_Toc243241396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13</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0B2AA2AB">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"_Toc243241397" </w:instrText>
      </w:r>
      <w:r>
        <w:rPr>
          <w:rFonts w:ascii="Times New Roman" w:hAnsi="Times New Roman"/>
          <w:sz w:val="28"/>
          <w:szCs w:val="28"/>
        </w:rPr>
        <w:fldChar w:fldCharType="separate"/>
      </w:r>
      <w:r>
        <w:rPr>
          <w:rStyle w:val="25"/>
          <w:rFonts w:hint="eastAsia" w:ascii="Times New Roman" w:hAnsi="Times New Roman" w:eastAsia="方正楷体简体" w:cs="方正仿宋简体"/>
          <w:sz w:val="28"/>
          <w:szCs w:val="28"/>
        </w:rPr>
        <w:t>（六）资金保障支撑</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_Toc243241397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14</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7DAF3F20">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"_Toc243241398" </w:instrText>
      </w:r>
      <w:r>
        <w:rPr>
          <w:rFonts w:ascii="Times New Roman" w:hAnsi="Times New Roman"/>
          <w:sz w:val="28"/>
          <w:szCs w:val="28"/>
        </w:rPr>
        <w:fldChar w:fldCharType="separate"/>
      </w:r>
      <w:r>
        <w:rPr>
          <w:rStyle w:val="25"/>
          <w:rFonts w:hint="eastAsia" w:ascii="Times New Roman" w:hAnsi="Times New Roman" w:eastAsia="方正楷体简体" w:cs="方正仿宋简体"/>
          <w:sz w:val="28"/>
          <w:szCs w:val="28"/>
        </w:rPr>
        <w:t>（七）对口支援支撑</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_Toc243241398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14</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4715B9FE">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"_Toc243241399" </w:instrText>
      </w:r>
      <w:r>
        <w:rPr>
          <w:rFonts w:ascii="Times New Roman" w:hAnsi="Times New Roman"/>
          <w:sz w:val="28"/>
          <w:szCs w:val="28"/>
        </w:rPr>
        <w:fldChar w:fldCharType="separate"/>
      </w:r>
      <w:r>
        <w:rPr>
          <w:rStyle w:val="25"/>
          <w:rFonts w:hint="eastAsia" w:ascii="Times New Roman" w:hAnsi="Times New Roman" w:eastAsia="方正楷体简体" w:cs="方正仿宋简体"/>
          <w:sz w:val="28"/>
          <w:szCs w:val="28"/>
        </w:rPr>
        <w:t>（八）品牌建设支撑</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_Toc243241399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15</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278D196B">
      <w:pPr>
        <w:pStyle w:val="14"/>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"_Toc243241400" </w:instrText>
      </w:r>
      <w:r>
        <w:rPr>
          <w:rFonts w:ascii="Times New Roman" w:hAnsi="Times New Roman"/>
          <w:sz w:val="28"/>
          <w:szCs w:val="28"/>
        </w:rPr>
        <w:fldChar w:fldCharType="separate"/>
      </w:r>
      <w:r>
        <w:rPr>
          <w:rStyle w:val="25"/>
          <w:rFonts w:hint="eastAsia" w:ascii="Times New Roman" w:hAnsi="Times New Roman" w:eastAsia="方正黑体简体" w:cs="方正仿宋简体"/>
          <w:sz w:val="28"/>
          <w:szCs w:val="28"/>
          <w:lang w:val="en-US" w:eastAsia="zh-CN"/>
        </w:rPr>
        <w:t>五、主要依据</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_Toc243241400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16</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6B14F709">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"_Toc243241401" </w:instrText>
      </w:r>
      <w:r>
        <w:rPr>
          <w:rFonts w:ascii="Times New Roman" w:hAnsi="Times New Roman"/>
          <w:sz w:val="28"/>
          <w:szCs w:val="28"/>
        </w:rPr>
        <w:fldChar w:fldCharType="separate"/>
      </w:r>
      <w:r>
        <w:rPr>
          <w:rStyle w:val="25"/>
          <w:rFonts w:hint="eastAsia" w:ascii="Times New Roman" w:hAnsi="Times New Roman" w:eastAsia="方正楷体简体" w:cs="方正仿宋简体"/>
          <w:sz w:val="28"/>
          <w:szCs w:val="28"/>
        </w:rPr>
        <w:t>（一）法理法律依据</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_Toc243241401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16</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1E55F3F5">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"_Toc243241402" </w:instrText>
      </w:r>
      <w:r>
        <w:rPr>
          <w:rFonts w:ascii="Times New Roman" w:hAnsi="Times New Roman"/>
          <w:sz w:val="28"/>
          <w:szCs w:val="28"/>
        </w:rPr>
        <w:fldChar w:fldCharType="separate"/>
      </w:r>
      <w:r>
        <w:rPr>
          <w:rStyle w:val="25"/>
          <w:rFonts w:hint="eastAsia" w:ascii="Times New Roman" w:hAnsi="Times New Roman" w:eastAsia="方正楷体简体" w:cs="方正仿宋简体"/>
          <w:sz w:val="28"/>
          <w:szCs w:val="28"/>
        </w:rPr>
        <w:t>（二）顶层政策与编制依据</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_Toc243241402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17</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627CAFD4">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"_Toc243241403" </w:instrText>
      </w:r>
      <w:r>
        <w:rPr>
          <w:rFonts w:ascii="Times New Roman" w:hAnsi="Times New Roman"/>
          <w:sz w:val="28"/>
          <w:szCs w:val="28"/>
        </w:rPr>
        <w:fldChar w:fldCharType="separate"/>
      </w:r>
      <w:r>
        <w:rPr>
          <w:rStyle w:val="25"/>
          <w:rFonts w:hint="eastAsia" w:ascii="Times New Roman" w:hAnsi="Times New Roman" w:eastAsia="方正楷体简体" w:cs="方正仿宋简体"/>
          <w:sz w:val="28"/>
          <w:szCs w:val="28"/>
        </w:rPr>
        <w:t>（三）资源禀赋现实依据</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_Toc243241403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18</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64725033">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"_Toc243241404" </w:instrText>
      </w:r>
      <w:r>
        <w:rPr>
          <w:rFonts w:ascii="Times New Roman" w:hAnsi="Times New Roman"/>
          <w:sz w:val="28"/>
          <w:szCs w:val="28"/>
        </w:rPr>
        <w:fldChar w:fldCharType="separate"/>
      </w:r>
      <w:r>
        <w:rPr>
          <w:rStyle w:val="25"/>
          <w:rFonts w:hint="eastAsia" w:ascii="Times New Roman" w:hAnsi="Times New Roman" w:eastAsia="方正楷体简体" w:cs="方正仿宋简体"/>
          <w:sz w:val="28"/>
          <w:szCs w:val="28"/>
        </w:rPr>
        <w:t>（四）现有产业实践依据</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_Toc243241404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19</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107B9BDB">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"_Toc243241405" </w:instrText>
      </w:r>
      <w:r>
        <w:rPr>
          <w:rFonts w:ascii="Times New Roman" w:hAnsi="Times New Roman"/>
          <w:sz w:val="28"/>
          <w:szCs w:val="28"/>
        </w:rPr>
        <w:fldChar w:fldCharType="separate"/>
      </w:r>
      <w:r>
        <w:rPr>
          <w:rStyle w:val="25"/>
          <w:rFonts w:hint="eastAsia" w:ascii="Times New Roman" w:hAnsi="Times New Roman" w:eastAsia="方正楷体简体" w:cs="方正仿宋简体"/>
          <w:sz w:val="28"/>
          <w:szCs w:val="28"/>
        </w:rPr>
        <w:t>（五）市场发展导向依据</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_Toc243241405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19</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7116E68A">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"_Toc243241406" </w:instrText>
      </w:r>
      <w:r>
        <w:rPr>
          <w:rFonts w:ascii="Times New Roman" w:hAnsi="Times New Roman"/>
          <w:sz w:val="28"/>
          <w:szCs w:val="28"/>
        </w:rPr>
        <w:fldChar w:fldCharType="separate"/>
      </w:r>
      <w:r>
        <w:rPr>
          <w:rStyle w:val="25"/>
          <w:rFonts w:hint="eastAsia" w:ascii="Times New Roman" w:hAnsi="Times New Roman" w:eastAsia="方正楷体简体" w:cs="方正仿宋简体"/>
          <w:sz w:val="28"/>
          <w:szCs w:val="28"/>
        </w:rPr>
        <w:t>（六）可持续发展理念依据</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_Toc243241406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20</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16972F00">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"_Toc243241407" </w:instrText>
      </w:r>
      <w:r>
        <w:rPr>
          <w:rFonts w:ascii="Times New Roman" w:hAnsi="Times New Roman"/>
          <w:sz w:val="28"/>
          <w:szCs w:val="28"/>
        </w:rPr>
        <w:fldChar w:fldCharType="separate"/>
      </w:r>
      <w:r>
        <w:rPr>
          <w:rStyle w:val="25"/>
          <w:rFonts w:hint="eastAsia" w:ascii="Times New Roman" w:hAnsi="Times New Roman" w:eastAsia="方正楷体简体" w:cs="方正仿宋简体"/>
          <w:sz w:val="28"/>
          <w:szCs w:val="28"/>
        </w:rPr>
        <w:t>（七）对口支援协同依据</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_Toc243241407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20</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40F2D802">
      <w:pPr>
        <w:pStyle w:val="14"/>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"_Toc243241408" </w:instrText>
      </w:r>
      <w:r>
        <w:rPr>
          <w:rFonts w:ascii="Times New Roman" w:hAnsi="Times New Roman"/>
          <w:sz w:val="28"/>
          <w:szCs w:val="28"/>
        </w:rPr>
        <w:fldChar w:fldCharType="separate"/>
      </w:r>
      <w:r>
        <w:rPr>
          <w:rStyle w:val="25"/>
          <w:rFonts w:hint="eastAsia" w:ascii="Times New Roman" w:hAnsi="Times New Roman" w:eastAsia="方正黑体简体" w:cs="方正仿宋简体"/>
          <w:sz w:val="28"/>
          <w:szCs w:val="28"/>
          <w:lang w:val="en-US" w:eastAsia="zh-CN"/>
        </w:rPr>
        <w:t>六、思路框架</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_Toc243241408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20</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3F55A9BB">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"_Toc243241409" </w:instrText>
      </w:r>
      <w:r>
        <w:rPr>
          <w:rFonts w:ascii="Times New Roman" w:hAnsi="Times New Roman"/>
          <w:sz w:val="28"/>
          <w:szCs w:val="28"/>
        </w:rPr>
        <w:fldChar w:fldCharType="separate"/>
      </w:r>
      <w:r>
        <w:rPr>
          <w:rStyle w:val="25"/>
          <w:rFonts w:hint="eastAsia" w:ascii="Times New Roman" w:hAnsi="Times New Roman" w:eastAsia="方正楷体简体" w:cs="方正仿宋简体"/>
          <w:sz w:val="28"/>
          <w:szCs w:val="28"/>
          <w:lang w:val="en-US" w:eastAsia="zh-CN"/>
        </w:rPr>
        <w:t>（一）地理空间维度</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_Toc243241409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22</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545D3F14">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"_Toc243241410" </w:instrText>
      </w:r>
      <w:r>
        <w:rPr>
          <w:rFonts w:ascii="Times New Roman" w:hAnsi="Times New Roman"/>
          <w:sz w:val="28"/>
          <w:szCs w:val="28"/>
        </w:rPr>
        <w:fldChar w:fldCharType="separate"/>
      </w:r>
      <w:r>
        <w:rPr>
          <w:rStyle w:val="25"/>
          <w:rFonts w:hint="eastAsia" w:ascii="Times New Roman" w:hAnsi="Times New Roman" w:eastAsia="方正楷体简体" w:cs="方正仿宋简体"/>
          <w:sz w:val="28"/>
          <w:szCs w:val="28"/>
          <w:lang w:val="en-US" w:eastAsia="zh-CN"/>
        </w:rPr>
        <w:t>（二）产业体系维度</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_Toc243241410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23</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1849BB6F">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"_Toc243241411" </w:instrText>
      </w:r>
      <w:r>
        <w:rPr>
          <w:rFonts w:ascii="Times New Roman" w:hAnsi="Times New Roman"/>
          <w:sz w:val="28"/>
          <w:szCs w:val="28"/>
        </w:rPr>
        <w:fldChar w:fldCharType="separate"/>
      </w:r>
      <w:r>
        <w:rPr>
          <w:rStyle w:val="25"/>
          <w:rFonts w:hint="eastAsia" w:ascii="Times New Roman" w:hAnsi="Times New Roman" w:eastAsia="方正楷体简体" w:cs="方正仿宋简体"/>
          <w:sz w:val="28"/>
          <w:szCs w:val="28"/>
          <w:lang w:val="en-US" w:eastAsia="zh-CN"/>
        </w:rPr>
        <w:t>（三）工作内容维度</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_Toc243241411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24</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5FA84AA5">
      <w:pPr>
        <w:pStyle w:val="14"/>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"_Toc243241412" </w:instrText>
      </w:r>
      <w:r>
        <w:rPr>
          <w:rFonts w:ascii="Times New Roman" w:hAnsi="Times New Roman"/>
          <w:sz w:val="28"/>
          <w:szCs w:val="28"/>
        </w:rPr>
        <w:fldChar w:fldCharType="separate"/>
      </w:r>
      <w:r>
        <w:rPr>
          <w:rStyle w:val="25"/>
          <w:rFonts w:hint="eastAsia" w:ascii="Times New Roman" w:hAnsi="Times New Roman"/>
          <w:b/>
          <w:spacing w:val="-2"/>
          <w:sz w:val="28"/>
          <w:szCs w:val="28"/>
        </w:rPr>
        <w:t>第二章</w:t>
      </w:r>
      <w:r>
        <w:rPr>
          <w:rStyle w:val="25"/>
          <w:rFonts w:hint="eastAsia" w:ascii="Times New Roman" w:hAnsi="Times New Roman" w:eastAsia="方正小标宋简体" w:cs="方正仿宋简体"/>
          <w:b/>
          <w:spacing w:val="-2"/>
          <w:sz w:val="28"/>
          <w:szCs w:val="28"/>
        </w:rPr>
        <w:t xml:space="preserve"> </w:t>
      </w:r>
      <w:r>
        <w:rPr>
          <w:rStyle w:val="25"/>
          <w:rFonts w:hint="eastAsia" w:ascii="Times New Roman" w:hAnsi="Times New Roman"/>
          <w:b/>
          <w:spacing w:val="-2"/>
          <w:sz w:val="28"/>
          <w:szCs w:val="28"/>
          <w:lang w:val="en-US" w:eastAsia="zh-CN"/>
        </w:rPr>
        <w:t>特色产业的概念界定</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_Toc243241412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25</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5644740E">
      <w:pPr>
        <w:pStyle w:val="14"/>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"_Toc243241413" </w:instrText>
      </w:r>
      <w:r>
        <w:rPr>
          <w:rFonts w:ascii="Times New Roman" w:hAnsi="Times New Roman"/>
          <w:sz w:val="28"/>
          <w:szCs w:val="28"/>
        </w:rPr>
        <w:fldChar w:fldCharType="separate"/>
      </w:r>
      <w:r>
        <w:rPr>
          <w:rStyle w:val="25"/>
          <w:rFonts w:hint="eastAsia" w:ascii="Times New Roman" w:hAnsi="Times New Roman" w:eastAsia="方正黑体简体" w:cs="方正仿宋简体"/>
          <w:sz w:val="28"/>
          <w:szCs w:val="28"/>
          <w:lang w:val="en-US" w:eastAsia="zh-CN"/>
        </w:rPr>
        <w:t>一、根植区域专属稀缺资源，夯实产业发展根基</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_Toc243241413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26</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1B252E4E">
      <w:pPr>
        <w:pStyle w:val="14"/>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"_Toc243241414" </w:instrText>
      </w:r>
      <w:r>
        <w:rPr>
          <w:rFonts w:ascii="Times New Roman" w:hAnsi="Times New Roman"/>
          <w:sz w:val="28"/>
          <w:szCs w:val="28"/>
        </w:rPr>
        <w:fldChar w:fldCharType="separate"/>
      </w:r>
      <w:r>
        <w:rPr>
          <w:rStyle w:val="25"/>
          <w:rFonts w:hint="eastAsia" w:ascii="Times New Roman" w:hAnsi="Times New Roman" w:eastAsia="方正黑体简体" w:cs="方正仿宋简体"/>
          <w:sz w:val="28"/>
          <w:szCs w:val="28"/>
          <w:lang w:val="en-US" w:eastAsia="zh-CN"/>
        </w:rPr>
        <w:t>二、依托特色工艺传承与创新经营组织模式</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_Toc243241414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26</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7C6E2B6B">
      <w:pPr>
        <w:pStyle w:val="14"/>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"_Toc243241415" </w:instrText>
      </w:r>
      <w:r>
        <w:rPr>
          <w:rFonts w:ascii="Times New Roman" w:hAnsi="Times New Roman"/>
          <w:sz w:val="28"/>
          <w:szCs w:val="28"/>
        </w:rPr>
        <w:fldChar w:fldCharType="separate"/>
      </w:r>
      <w:r>
        <w:rPr>
          <w:rStyle w:val="25"/>
          <w:rFonts w:hint="eastAsia" w:ascii="Times New Roman" w:hAnsi="Times New Roman" w:eastAsia="方正黑体简体" w:cs="方正仿宋简体"/>
          <w:sz w:val="28"/>
          <w:szCs w:val="28"/>
          <w:lang w:val="en-US" w:eastAsia="zh-CN"/>
        </w:rPr>
        <w:t>三、能够产出具备差异化市场价值的特色产品</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_Toc243241415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27</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298493D8">
      <w:pPr>
        <w:pStyle w:val="14"/>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"_Toc243241416" </w:instrText>
      </w:r>
      <w:r>
        <w:rPr>
          <w:rFonts w:ascii="Times New Roman" w:hAnsi="Times New Roman"/>
          <w:sz w:val="28"/>
          <w:szCs w:val="28"/>
        </w:rPr>
        <w:fldChar w:fldCharType="separate"/>
      </w:r>
      <w:r>
        <w:rPr>
          <w:rStyle w:val="25"/>
          <w:rFonts w:hint="eastAsia" w:ascii="Times New Roman" w:hAnsi="Times New Roman" w:eastAsia="方正黑体简体" w:cs="方正仿宋简体"/>
          <w:sz w:val="28"/>
          <w:szCs w:val="28"/>
          <w:lang w:val="en-US" w:eastAsia="zh-CN"/>
        </w:rPr>
        <w:t>四、具备全方位多层次综合发展效益</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_Toc243241416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27</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5E289591">
      <w:pPr>
        <w:pStyle w:val="14"/>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"_Toc243241417" </w:instrText>
      </w:r>
      <w:r>
        <w:rPr>
          <w:rFonts w:ascii="Times New Roman" w:hAnsi="Times New Roman"/>
          <w:sz w:val="28"/>
          <w:szCs w:val="28"/>
        </w:rPr>
        <w:fldChar w:fldCharType="separate"/>
      </w:r>
      <w:r>
        <w:rPr>
          <w:rStyle w:val="25"/>
          <w:rFonts w:hint="eastAsia" w:ascii="Times New Roman" w:hAnsi="Times New Roman"/>
          <w:b/>
          <w:spacing w:val="-2"/>
          <w:sz w:val="28"/>
          <w:szCs w:val="28"/>
        </w:rPr>
        <w:t>第三章</w:t>
      </w:r>
      <w:r>
        <w:rPr>
          <w:rStyle w:val="25"/>
          <w:rFonts w:hint="eastAsia" w:ascii="Times New Roman" w:hAnsi="Times New Roman" w:eastAsia="方正小标宋简体" w:cs="方正小标宋简体"/>
          <w:b/>
          <w:spacing w:val="-2"/>
          <w:sz w:val="28"/>
          <w:szCs w:val="28"/>
          <w:lang w:val="en-US" w:eastAsia="zh-CN"/>
        </w:rPr>
        <w:t xml:space="preserve"> </w:t>
      </w:r>
      <w:r>
        <w:rPr>
          <w:rStyle w:val="25"/>
          <w:rFonts w:hint="eastAsia" w:ascii="Times New Roman" w:hAnsi="Times New Roman"/>
          <w:b/>
          <w:spacing w:val="-2"/>
          <w:sz w:val="28"/>
          <w:szCs w:val="28"/>
          <w:lang w:val="en-US" w:eastAsia="zh-CN"/>
        </w:rPr>
        <w:t>那曲市产业发展现状</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_Toc243241417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29</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55FEBC2F">
      <w:pPr>
        <w:pStyle w:val="14"/>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"_Toc243241418" </w:instrText>
      </w:r>
      <w:r>
        <w:rPr>
          <w:rFonts w:ascii="Times New Roman" w:hAnsi="Times New Roman"/>
          <w:sz w:val="28"/>
          <w:szCs w:val="28"/>
        </w:rPr>
        <w:fldChar w:fldCharType="separate"/>
      </w:r>
      <w:r>
        <w:rPr>
          <w:rStyle w:val="25"/>
          <w:rFonts w:hint="eastAsia" w:ascii="Times New Roman" w:hAnsi="Times New Roman" w:eastAsia="方正黑体简体" w:cs="方正黑体简体"/>
          <w:sz w:val="28"/>
          <w:szCs w:val="28"/>
          <w:lang w:val="en-US" w:eastAsia="zh-CN"/>
        </w:rPr>
        <w:t>一、特色产业发展取得的成就</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_Toc243241418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29</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28862F1E">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"_Toc243241419" </w:instrText>
      </w:r>
      <w:r>
        <w:rPr>
          <w:rFonts w:ascii="Times New Roman" w:hAnsi="Times New Roman"/>
          <w:sz w:val="28"/>
          <w:szCs w:val="28"/>
        </w:rPr>
        <w:fldChar w:fldCharType="separate"/>
      </w:r>
      <w:r>
        <w:rPr>
          <w:rStyle w:val="25"/>
          <w:rFonts w:hint="eastAsia" w:ascii="Times New Roman" w:hAnsi="Times New Roman" w:eastAsia="方正楷体简体" w:cs="方正楷体简体"/>
          <w:sz w:val="28"/>
          <w:szCs w:val="28"/>
        </w:rPr>
        <w:t>（一）农牧业提质增效</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_Toc243241419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29</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3ECA55C9">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"_Toc243241420" </w:instrText>
      </w:r>
      <w:r>
        <w:rPr>
          <w:rFonts w:ascii="Times New Roman" w:hAnsi="Times New Roman"/>
          <w:sz w:val="28"/>
          <w:szCs w:val="28"/>
        </w:rPr>
        <w:fldChar w:fldCharType="separate"/>
      </w:r>
      <w:r>
        <w:rPr>
          <w:rStyle w:val="25"/>
          <w:rFonts w:hint="eastAsia" w:ascii="Times New Roman" w:hAnsi="Times New Roman" w:eastAsia="方正楷体简体" w:cs="方正楷体简体"/>
          <w:sz w:val="28"/>
          <w:szCs w:val="28"/>
        </w:rPr>
        <w:t>（二）清洁能源产业跨越式发展</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_Toc243241420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29</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7349C939">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"_Toc243241421" </w:instrText>
      </w:r>
      <w:r>
        <w:rPr>
          <w:rFonts w:ascii="Times New Roman" w:hAnsi="Times New Roman"/>
          <w:sz w:val="28"/>
          <w:szCs w:val="28"/>
        </w:rPr>
        <w:fldChar w:fldCharType="separate"/>
      </w:r>
      <w:r>
        <w:rPr>
          <w:rStyle w:val="25"/>
          <w:rFonts w:hint="eastAsia" w:ascii="Times New Roman" w:hAnsi="Times New Roman" w:eastAsia="方正楷体简体" w:cs="方正楷体简体"/>
          <w:sz w:val="28"/>
          <w:szCs w:val="28"/>
        </w:rPr>
        <w:t>（三）文化旅游产业蓬勃发展</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_Toc243241421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30</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70B97B4D">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"_Toc243241422" </w:instrText>
      </w:r>
      <w:r>
        <w:rPr>
          <w:rFonts w:ascii="Times New Roman" w:hAnsi="Times New Roman"/>
          <w:sz w:val="28"/>
          <w:szCs w:val="28"/>
        </w:rPr>
        <w:fldChar w:fldCharType="separate"/>
      </w:r>
      <w:r>
        <w:rPr>
          <w:rStyle w:val="25"/>
          <w:rFonts w:hint="eastAsia" w:ascii="Times New Roman" w:hAnsi="Times New Roman" w:eastAsia="方正楷体简体" w:cs="方正楷体简体"/>
          <w:sz w:val="28"/>
          <w:szCs w:val="28"/>
        </w:rPr>
        <w:t>（四）产业融合带动群众增收</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_Toc243241422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30</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16BC32E2">
      <w:pPr>
        <w:pStyle w:val="14"/>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"_Toc243241423" </w:instrText>
      </w:r>
      <w:r>
        <w:rPr>
          <w:rFonts w:ascii="Times New Roman" w:hAnsi="Times New Roman"/>
          <w:sz w:val="28"/>
          <w:szCs w:val="28"/>
        </w:rPr>
        <w:fldChar w:fldCharType="separate"/>
      </w:r>
      <w:r>
        <w:rPr>
          <w:rStyle w:val="25"/>
          <w:rFonts w:hint="eastAsia" w:ascii="Times New Roman" w:hAnsi="Times New Roman" w:eastAsia="方正黑体简体" w:cs="方正黑体简体"/>
          <w:sz w:val="28"/>
          <w:szCs w:val="28"/>
          <w:lang w:val="en-US" w:eastAsia="zh-CN"/>
        </w:rPr>
        <w:t>二、特色产业发展现状</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_Toc243241423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31</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4CF8CFF5">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"_Toc243241424" </w:instrText>
      </w:r>
      <w:r>
        <w:rPr>
          <w:rFonts w:ascii="Times New Roman" w:hAnsi="Times New Roman"/>
          <w:sz w:val="28"/>
          <w:szCs w:val="28"/>
        </w:rPr>
        <w:fldChar w:fldCharType="separate"/>
      </w:r>
      <w:r>
        <w:rPr>
          <w:rStyle w:val="25"/>
          <w:rFonts w:hint="eastAsia" w:ascii="Times New Roman" w:hAnsi="Times New Roman" w:eastAsia="方正楷体简体" w:cs="方正楷体简体"/>
          <w:sz w:val="28"/>
          <w:szCs w:val="28"/>
        </w:rPr>
        <w:t>（一）</w:t>
      </w:r>
      <w:r>
        <w:rPr>
          <w:rStyle w:val="25"/>
          <w:rFonts w:hint="eastAsia" w:ascii="Times New Roman" w:hAnsi="Times New Roman" w:eastAsia="方正楷体简体" w:cs="方正仿宋简体"/>
          <w:sz w:val="28"/>
          <w:szCs w:val="28"/>
          <w:lang w:eastAsia="zh-CN"/>
        </w:rPr>
        <w:t>高原</w:t>
      </w:r>
      <w:r>
        <w:rPr>
          <w:rStyle w:val="25"/>
          <w:rFonts w:hint="eastAsia" w:ascii="Times New Roman" w:hAnsi="Times New Roman" w:eastAsia="方正楷体简体" w:cs="方正楷体简体"/>
          <w:sz w:val="28"/>
          <w:szCs w:val="28"/>
          <w:lang w:eastAsia="zh-CN"/>
        </w:rPr>
        <w:t>特色畜牧业</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_Toc243241424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31</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004ECB44">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"_Toc243241425" </w:instrText>
      </w:r>
      <w:r>
        <w:rPr>
          <w:rFonts w:ascii="Times New Roman" w:hAnsi="Times New Roman"/>
          <w:sz w:val="28"/>
          <w:szCs w:val="28"/>
        </w:rPr>
        <w:fldChar w:fldCharType="separate"/>
      </w:r>
      <w:r>
        <w:rPr>
          <w:rStyle w:val="25"/>
          <w:rFonts w:hint="eastAsia" w:ascii="Times New Roman" w:hAnsi="Times New Roman" w:eastAsia="方正楷体简体" w:cs="方正仿宋简体"/>
          <w:sz w:val="28"/>
          <w:szCs w:val="28"/>
          <w:lang w:eastAsia="zh-CN"/>
        </w:rPr>
        <w:t>（</w:t>
      </w:r>
      <w:r>
        <w:rPr>
          <w:rStyle w:val="25"/>
          <w:rFonts w:hint="eastAsia" w:ascii="Times New Roman" w:hAnsi="Times New Roman" w:eastAsia="方正楷体简体" w:cs="方正仿宋简体"/>
          <w:sz w:val="28"/>
          <w:szCs w:val="28"/>
        </w:rPr>
        <w:t>二</w:t>
      </w:r>
      <w:r>
        <w:rPr>
          <w:rStyle w:val="25"/>
          <w:rFonts w:hint="eastAsia" w:ascii="Times New Roman" w:hAnsi="Times New Roman" w:eastAsia="方正楷体简体" w:cs="方正仿宋简体"/>
          <w:sz w:val="28"/>
          <w:szCs w:val="28"/>
          <w:lang w:eastAsia="zh-CN"/>
        </w:rPr>
        <w:t>）</w:t>
      </w:r>
      <w:r>
        <w:rPr>
          <w:rStyle w:val="25"/>
          <w:rFonts w:hint="eastAsia" w:ascii="Times New Roman" w:hAnsi="Times New Roman" w:eastAsia="方正楷体简体" w:cs="方正楷体简体"/>
          <w:sz w:val="28"/>
          <w:szCs w:val="28"/>
          <w:lang w:eastAsia="zh-CN"/>
        </w:rPr>
        <w:t>藏医药</w:t>
      </w:r>
      <w:r>
        <w:rPr>
          <w:rStyle w:val="25"/>
          <w:rFonts w:hint="eastAsia" w:ascii="Times New Roman" w:hAnsi="Times New Roman" w:eastAsia="方正楷体简体" w:cs="方正仿宋简体"/>
          <w:sz w:val="28"/>
          <w:szCs w:val="28"/>
        </w:rPr>
        <w:t>产业</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_Toc243241425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32</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69D89A56">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"_Toc243241426" </w:instrText>
      </w:r>
      <w:r>
        <w:rPr>
          <w:rFonts w:ascii="Times New Roman" w:hAnsi="Times New Roman"/>
          <w:sz w:val="28"/>
          <w:szCs w:val="28"/>
        </w:rPr>
        <w:fldChar w:fldCharType="separate"/>
      </w:r>
      <w:r>
        <w:rPr>
          <w:rStyle w:val="25"/>
          <w:rFonts w:hint="eastAsia" w:ascii="Times New Roman" w:hAnsi="Times New Roman" w:eastAsia="方正楷体简体" w:cs="方正仿宋简体"/>
          <w:sz w:val="28"/>
          <w:szCs w:val="28"/>
        </w:rPr>
        <w:t>（三）清洁能源产业</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_Toc243241426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35</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35A5BCA5">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"_Toc243241427" </w:instrText>
      </w:r>
      <w:r>
        <w:rPr>
          <w:rFonts w:ascii="Times New Roman" w:hAnsi="Times New Roman"/>
          <w:sz w:val="28"/>
          <w:szCs w:val="28"/>
        </w:rPr>
        <w:fldChar w:fldCharType="separate"/>
      </w:r>
      <w:r>
        <w:rPr>
          <w:rStyle w:val="25"/>
          <w:rFonts w:hint="eastAsia" w:ascii="Times New Roman" w:hAnsi="Times New Roman" w:eastAsia="方正楷体简体" w:cs="方正仿宋简体"/>
          <w:sz w:val="28"/>
          <w:szCs w:val="28"/>
        </w:rPr>
        <w:t>（四）生态文旅产业</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_Toc243241427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37</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3242E148">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"_Toc243241428" </w:instrText>
      </w:r>
      <w:r>
        <w:rPr>
          <w:rFonts w:ascii="Times New Roman" w:hAnsi="Times New Roman"/>
          <w:sz w:val="28"/>
          <w:szCs w:val="28"/>
        </w:rPr>
        <w:fldChar w:fldCharType="separate"/>
      </w:r>
      <w:r>
        <w:rPr>
          <w:rStyle w:val="25"/>
          <w:rFonts w:hint="eastAsia" w:ascii="Times New Roman" w:hAnsi="Times New Roman" w:eastAsia="方正楷体简体" w:cs="方正楷体简体"/>
          <w:sz w:val="28"/>
          <w:szCs w:val="28"/>
        </w:rPr>
        <w:t>（五）绿色矿产业</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_Toc243241428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39</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4AC94ABE">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"_Toc243241429" </w:instrText>
      </w:r>
      <w:r>
        <w:rPr>
          <w:rFonts w:ascii="Times New Roman" w:hAnsi="Times New Roman"/>
          <w:sz w:val="28"/>
          <w:szCs w:val="28"/>
        </w:rPr>
        <w:fldChar w:fldCharType="separate"/>
      </w:r>
      <w:r>
        <w:rPr>
          <w:rStyle w:val="25"/>
          <w:rFonts w:hint="eastAsia" w:ascii="Times New Roman" w:hAnsi="Times New Roman" w:eastAsia="方正楷体简体" w:cs="方正楷体简体"/>
          <w:sz w:val="28"/>
          <w:szCs w:val="28"/>
        </w:rPr>
        <w:t>（六）交通物流产业</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_Toc243241429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41</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27452EB8">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"_Toc243241430" </w:instrText>
      </w:r>
      <w:r>
        <w:rPr>
          <w:rFonts w:ascii="Times New Roman" w:hAnsi="Times New Roman"/>
          <w:sz w:val="28"/>
          <w:szCs w:val="28"/>
        </w:rPr>
        <w:fldChar w:fldCharType="separate"/>
      </w:r>
      <w:r>
        <w:rPr>
          <w:rStyle w:val="25"/>
          <w:rFonts w:hint="eastAsia" w:ascii="Times New Roman" w:hAnsi="Times New Roman" w:eastAsia="方正楷体简体" w:cs="方正楷体简体"/>
          <w:sz w:val="28"/>
          <w:szCs w:val="28"/>
        </w:rPr>
        <w:t>（七）民族手工业</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_Toc243241430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43</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241E1E90">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"_Toc243241431" </w:instrText>
      </w:r>
      <w:r>
        <w:rPr>
          <w:rFonts w:ascii="Times New Roman" w:hAnsi="Times New Roman"/>
          <w:sz w:val="28"/>
          <w:szCs w:val="28"/>
        </w:rPr>
        <w:fldChar w:fldCharType="separate"/>
      </w:r>
      <w:r>
        <w:rPr>
          <w:rStyle w:val="25"/>
          <w:rFonts w:hint="eastAsia" w:ascii="Times New Roman" w:hAnsi="Times New Roman" w:eastAsia="方正楷体简体" w:cs="方正楷体简体"/>
          <w:sz w:val="28"/>
          <w:szCs w:val="28"/>
        </w:rPr>
        <w:t>（八）高原特色种植业</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_Toc243241431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45</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32874C5C">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"_Toc243241432" </w:instrText>
      </w:r>
      <w:r>
        <w:rPr>
          <w:rFonts w:ascii="Times New Roman" w:hAnsi="Times New Roman"/>
          <w:sz w:val="28"/>
          <w:szCs w:val="28"/>
        </w:rPr>
        <w:fldChar w:fldCharType="separate"/>
      </w:r>
      <w:r>
        <w:rPr>
          <w:rStyle w:val="25"/>
          <w:rFonts w:hint="eastAsia" w:ascii="Times New Roman" w:hAnsi="Times New Roman" w:eastAsia="方正楷体简体" w:cs="方正楷体简体"/>
          <w:sz w:val="28"/>
          <w:szCs w:val="28"/>
        </w:rPr>
        <w:t>（九）天然饮用水产业</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_Toc243241432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47</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0B893B4B">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"_Toc243241433" </w:instrText>
      </w:r>
      <w:r>
        <w:rPr>
          <w:rFonts w:ascii="Times New Roman" w:hAnsi="Times New Roman"/>
          <w:sz w:val="28"/>
          <w:szCs w:val="28"/>
        </w:rPr>
        <w:fldChar w:fldCharType="separate"/>
      </w:r>
      <w:r>
        <w:rPr>
          <w:rStyle w:val="25"/>
          <w:rFonts w:hint="eastAsia" w:ascii="Times New Roman" w:hAnsi="Times New Roman" w:eastAsia="方正楷体简体" w:cs="方正楷体简体"/>
          <w:sz w:val="28"/>
          <w:szCs w:val="28"/>
        </w:rPr>
        <w:t>（十）卤虫卵产业</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_Toc243241433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48</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2AB465DE">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"_Toc243241434" </w:instrText>
      </w:r>
      <w:r>
        <w:rPr>
          <w:rFonts w:ascii="Times New Roman" w:hAnsi="Times New Roman"/>
          <w:sz w:val="28"/>
          <w:szCs w:val="28"/>
        </w:rPr>
        <w:fldChar w:fldCharType="separate"/>
      </w:r>
      <w:r>
        <w:rPr>
          <w:rStyle w:val="25"/>
          <w:rFonts w:hint="eastAsia" w:ascii="Times New Roman" w:hAnsi="Times New Roman" w:eastAsia="方正楷体简体" w:cs="方正楷体简体"/>
          <w:sz w:val="28"/>
          <w:szCs w:val="28"/>
        </w:rPr>
        <w:t>（十一）低空经济</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_Toc243241434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49</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65B4C346">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"_Toc243241435" </w:instrText>
      </w:r>
      <w:r>
        <w:rPr>
          <w:rFonts w:ascii="Times New Roman" w:hAnsi="Times New Roman"/>
          <w:sz w:val="28"/>
          <w:szCs w:val="28"/>
        </w:rPr>
        <w:fldChar w:fldCharType="separate"/>
      </w:r>
      <w:r>
        <w:rPr>
          <w:rStyle w:val="25"/>
          <w:rFonts w:hint="eastAsia" w:ascii="Times New Roman" w:hAnsi="Times New Roman" w:eastAsia="方正楷体简体" w:cs="方正楷体简体"/>
          <w:sz w:val="28"/>
          <w:szCs w:val="28"/>
        </w:rPr>
        <w:t>（十二）算力经济</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_Toc243241435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50</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62B43529">
      <w:pPr>
        <w:pStyle w:val="14"/>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"_Toc243241436" </w:instrText>
      </w:r>
      <w:r>
        <w:rPr>
          <w:rFonts w:ascii="Times New Roman" w:hAnsi="Times New Roman"/>
          <w:sz w:val="28"/>
          <w:szCs w:val="28"/>
        </w:rPr>
        <w:fldChar w:fldCharType="separate"/>
      </w:r>
      <w:r>
        <w:rPr>
          <w:rStyle w:val="25"/>
          <w:rFonts w:hint="eastAsia" w:ascii="Times New Roman" w:hAnsi="Times New Roman" w:eastAsia="方正黑体简体" w:cs="方正黑体简体"/>
          <w:sz w:val="28"/>
          <w:szCs w:val="28"/>
          <w:lang w:val="en-US" w:eastAsia="zh-CN"/>
        </w:rPr>
        <w:t>三、产业空间分布特征</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_Toc243241436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50</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366852D7">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"_Toc243241437" </w:instrText>
      </w:r>
      <w:r>
        <w:rPr>
          <w:rFonts w:ascii="Times New Roman" w:hAnsi="Times New Roman"/>
          <w:sz w:val="28"/>
          <w:szCs w:val="28"/>
        </w:rPr>
        <w:fldChar w:fldCharType="separate"/>
      </w:r>
      <w:r>
        <w:rPr>
          <w:rStyle w:val="25"/>
          <w:rFonts w:hint="eastAsia" w:ascii="Times New Roman" w:hAnsi="Times New Roman" w:eastAsia="方正楷体简体" w:cs="方正楷体简体"/>
          <w:sz w:val="28"/>
          <w:szCs w:val="28"/>
        </w:rPr>
        <w:t>（一）总体分布格局</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_Toc243241437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51</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5B3EDFFD">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"_Toc243241438"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eastAsia="zh-CN"/>
        </w:rPr>
        <w:t>1．中部核心发展带</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_Toc243241438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51</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1623DD9B">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"_Toc243241439"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eastAsia="zh-CN"/>
        </w:rPr>
        <w:t>2．东部多元产业带</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_Toc243241439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52</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78F93DF9">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"_Toc243241440"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eastAsia="zh-CN"/>
        </w:rPr>
        <w:t>3．西部高原特色畜牧带</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_Toc243241440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53</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0CCB8248">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"_Toc243241441"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eastAsia="zh-CN"/>
        </w:rPr>
        <w:t>4．全链条升级布局</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_Toc243241441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54</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7651AB57">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"_Toc243241442"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eastAsia="zh-CN"/>
        </w:rPr>
        <w:t>5．交通廊道经济支撑</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_Toc243241442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54</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362728BC">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"_Toc243241443"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eastAsia="zh-CN"/>
        </w:rPr>
        <w:t>6．重点增长极培育</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_Toc243241443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55</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17527F27">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"_Toc243241444" </w:instrText>
      </w:r>
      <w:r>
        <w:rPr>
          <w:rFonts w:ascii="Times New Roman" w:hAnsi="Times New Roman"/>
          <w:sz w:val="28"/>
          <w:szCs w:val="28"/>
        </w:rPr>
        <w:fldChar w:fldCharType="separate"/>
      </w:r>
      <w:r>
        <w:rPr>
          <w:rStyle w:val="25"/>
          <w:rFonts w:hint="eastAsia" w:ascii="Times New Roman" w:hAnsi="Times New Roman" w:eastAsia="方正楷体简体" w:cs="方正楷体简体"/>
          <w:sz w:val="28"/>
          <w:szCs w:val="28"/>
        </w:rPr>
        <w:t>（二）核心产业空间分布特征</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_Toc243241444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55</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52E4C040">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"_Toc243241445"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val="en-US"/>
        </w:rPr>
        <w:t>1</w:t>
      </w:r>
      <w:r>
        <w:rPr>
          <w:rStyle w:val="25"/>
          <w:rFonts w:hint="eastAsia" w:ascii="Times New Roman" w:hAnsi="Times New Roman" w:eastAsia="方正仿宋简体" w:cs="方正仿宋简体"/>
          <w:bCs/>
          <w:sz w:val="28"/>
          <w:szCs w:val="28"/>
          <w:lang w:val="en-US" w:eastAsia="zh-CN"/>
        </w:rPr>
        <w:t>．</w:t>
      </w:r>
      <w:r>
        <w:rPr>
          <w:rStyle w:val="25"/>
          <w:rFonts w:hint="eastAsia" w:ascii="Times New Roman" w:hAnsi="Times New Roman" w:eastAsia="方正仿宋简体" w:cs="方正仿宋简体"/>
          <w:bCs/>
          <w:sz w:val="28"/>
          <w:szCs w:val="28"/>
          <w:lang w:val="en-US"/>
        </w:rPr>
        <w:t>清洁能源产业：中部突破、东西联动、依网布局</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_Toc243241445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55</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2CB04339">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"_Toc243241446"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val="en-US"/>
        </w:rPr>
        <w:t>2</w:t>
      </w:r>
      <w:r>
        <w:rPr>
          <w:rStyle w:val="25"/>
          <w:rFonts w:hint="eastAsia" w:ascii="Times New Roman" w:hAnsi="Times New Roman" w:eastAsia="方正仿宋简体" w:cs="方正仿宋简体"/>
          <w:bCs/>
          <w:sz w:val="28"/>
          <w:szCs w:val="28"/>
          <w:lang w:val="en-US" w:eastAsia="zh-CN"/>
        </w:rPr>
        <w:t>．</w:t>
      </w:r>
      <w:r>
        <w:rPr>
          <w:rStyle w:val="25"/>
          <w:rFonts w:hint="eastAsia" w:ascii="Times New Roman" w:hAnsi="Times New Roman" w:eastAsia="方正仿宋简体" w:cs="方正仿宋简体"/>
          <w:bCs/>
          <w:sz w:val="28"/>
          <w:szCs w:val="28"/>
          <w:lang w:eastAsia="zh-CN"/>
        </w:rPr>
        <w:t>高原特色畜牧业</w:t>
      </w:r>
      <w:r>
        <w:rPr>
          <w:rStyle w:val="25"/>
          <w:rFonts w:hint="eastAsia" w:ascii="Times New Roman" w:hAnsi="Times New Roman" w:eastAsia="方正仿宋简体" w:cs="方正仿宋简体"/>
          <w:bCs/>
          <w:sz w:val="28"/>
          <w:szCs w:val="28"/>
          <w:lang w:val="en-US"/>
        </w:rPr>
        <w:t>：全域覆盖、分区集聚、梯度布局</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_Toc243241446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56</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010FB1BC">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"_Toc243241447"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val="en-US"/>
        </w:rPr>
        <w:t>3</w:t>
      </w:r>
      <w:r>
        <w:rPr>
          <w:rStyle w:val="25"/>
          <w:rFonts w:hint="eastAsia" w:ascii="Times New Roman" w:hAnsi="Times New Roman" w:eastAsia="方正仿宋简体" w:cs="方正仿宋简体"/>
          <w:bCs/>
          <w:sz w:val="28"/>
          <w:szCs w:val="28"/>
          <w:lang w:val="en-US" w:eastAsia="zh-CN"/>
        </w:rPr>
        <w:t>．</w:t>
      </w:r>
      <w:r>
        <w:rPr>
          <w:rStyle w:val="25"/>
          <w:rFonts w:hint="eastAsia" w:ascii="Times New Roman" w:hAnsi="Times New Roman" w:eastAsia="方正仿宋简体" w:cs="方正仿宋简体"/>
          <w:bCs/>
          <w:sz w:val="28"/>
          <w:szCs w:val="28"/>
          <w:lang w:eastAsia="zh-CN"/>
        </w:rPr>
        <w:t>生态文旅产业</w:t>
      </w:r>
      <w:r>
        <w:rPr>
          <w:rStyle w:val="25"/>
          <w:rFonts w:hint="eastAsia" w:ascii="Times New Roman" w:hAnsi="Times New Roman" w:eastAsia="方正仿宋简体" w:cs="方正仿宋简体"/>
          <w:bCs/>
          <w:sz w:val="28"/>
          <w:szCs w:val="28"/>
          <w:lang w:val="en-US"/>
        </w:rPr>
        <w:t>：资源锚定、沿路串联、点状爆发</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_Toc243241447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57</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52222C79">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"_Toc243241448"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val="en-US"/>
        </w:rPr>
        <w:t>4</w:t>
      </w:r>
      <w:r>
        <w:rPr>
          <w:rStyle w:val="25"/>
          <w:rFonts w:hint="eastAsia" w:ascii="Times New Roman" w:hAnsi="Times New Roman" w:eastAsia="方正仿宋简体" w:cs="方正仿宋简体"/>
          <w:bCs/>
          <w:sz w:val="28"/>
          <w:szCs w:val="28"/>
          <w:lang w:val="en-US" w:eastAsia="zh-CN"/>
        </w:rPr>
        <w:t>．</w:t>
      </w:r>
      <w:r>
        <w:rPr>
          <w:rStyle w:val="25"/>
          <w:rFonts w:hint="eastAsia" w:ascii="Times New Roman" w:hAnsi="Times New Roman" w:eastAsia="方正仿宋简体" w:cs="方正仿宋简体"/>
          <w:bCs/>
          <w:sz w:val="28"/>
          <w:szCs w:val="28"/>
          <w:lang w:eastAsia="zh-CN"/>
        </w:rPr>
        <w:t>特色资源产业</w:t>
      </w:r>
      <w:r>
        <w:rPr>
          <w:rStyle w:val="25"/>
          <w:rFonts w:hint="eastAsia" w:ascii="Times New Roman" w:hAnsi="Times New Roman" w:eastAsia="方正仿宋简体" w:cs="方正仿宋简体"/>
          <w:bCs/>
          <w:sz w:val="28"/>
          <w:szCs w:val="28"/>
          <w:lang w:val="en-US"/>
        </w:rPr>
        <w:t>：资源集聚、季节性强、约束显著</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_Toc243241448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57</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0410FA20">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"_Toc243241449"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val="en-US"/>
        </w:rPr>
        <w:t>5</w:t>
      </w:r>
      <w:r>
        <w:rPr>
          <w:rStyle w:val="25"/>
          <w:rFonts w:hint="eastAsia" w:ascii="Times New Roman" w:hAnsi="Times New Roman" w:eastAsia="方正仿宋简体" w:cs="方正仿宋简体"/>
          <w:bCs/>
          <w:sz w:val="28"/>
          <w:szCs w:val="28"/>
          <w:lang w:val="en-US" w:eastAsia="zh-CN"/>
        </w:rPr>
        <w:t>．</w:t>
      </w:r>
      <w:r>
        <w:rPr>
          <w:rStyle w:val="25"/>
          <w:rFonts w:hint="eastAsia" w:ascii="Times New Roman" w:hAnsi="Times New Roman" w:eastAsia="方正仿宋简体" w:cs="方正仿宋简体"/>
          <w:bCs/>
          <w:sz w:val="28"/>
          <w:szCs w:val="28"/>
          <w:lang w:eastAsia="zh-CN"/>
        </w:rPr>
        <w:t>民族手工业与现代服务业</w:t>
      </w:r>
      <w:r>
        <w:rPr>
          <w:rStyle w:val="25"/>
          <w:rFonts w:hint="eastAsia" w:ascii="Times New Roman" w:hAnsi="Times New Roman" w:eastAsia="方正仿宋简体" w:cs="方正仿宋简体"/>
          <w:bCs/>
          <w:sz w:val="28"/>
          <w:szCs w:val="28"/>
          <w:lang w:val="en-US"/>
        </w:rPr>
        <w:t>：点状布局、属地服务、就近配套</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_Toc243241449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58</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1A58463D">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"_Toc243241450" </w:instrText>
      </w:r>
      <w:r>
        <w:rPr>
          <w:rFonts w:ascii="Times New Roman" w:hAnsi="Times New Roman"/>
          <w:sz w:val="28"/>
          <w:szCs w:val="28"/>
        </w:rPr>
        <w:fldChar w:fldCharType="separate"/>
      </w:r>
      <w:r>
        <w:rPr>
          <w:rStyle w:val="25"/>
          <w:rFonts w:hint="eastAsia" w:ascii="Times New Roman" w:hAnsi="Times New Roman" w:eastAsia="方正楷体简体" w:cs="方正楷体简体"/>
          <w:sz w:val="28"/>
          <w:szCs w:val="28"/>
        </w:rPr>
        <w:t>（三）总体特征小结</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_Toc243241450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58</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478B56DF">
      <w:pPr>
        <w:pStyle w:val="14"/>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"_Toc243241451" </w:instrText>
      </w:r>
      <w:r>
        <w:rPr>
          <w:rFonts w:ascii="Times New Roman" w:hAnsi="Times New Roman"/>
          <w:sz w:val="28"/>
          <w:szCs w:val="28"/>
        </w:rPr>
        <w:fldChar w:fldCharType="separate"/>
      </w:r>
      <w:r>
        <w:rPr>
          <w:rStyle w:val="25"/>
          <w:rFonts w:hint="eastAsia" w:ascii="Times New Roman" w:hAnsi="Times New Roman"/>
          <w:b/>
          <w:spacing w:val="-2"/>
          <w:sz w:val="28"/>
          <w:szCs w:val="28"/>
        </w:rPr>
        <w:t>第四章</w:t>
      </w:r>
      <w:r>
        <w:rPr>
          <w:rStyle w:val="25"/>
          <w:rFonts w:hint="eastAsia" w:ascii="Times New Roman" w:hAnsi="Times New Roman" w:eastAsia="方正小标宋简体" w:cs="方正小标宋简体"/>
          <w:b/>
          <w:spacing w:val="-2"/>
          <w:sz w:val="28"/>
          <w:szCs w:val="28"/>
          <w:lang w:val="en-US" w:eastAsia="zh-CN"/>
        </w:rPr>
        <w:t xml:space="preserve"> </w:t>
      </w:r>
      <w:r>
        <w:rPr>
          <w:rStyle w:val="25"/>
          <w:rFonts w:hint="eastAsia" w:ascii="Times New Roman" w:hAnsi="Times New Roman"/>
          <w:b/>
          <w:spacing w:val="-2"/>
          <w:sz w:val="28"/>
          <w:szCs w:val="28"/>
          <w:lang w:val="en-US" w:eastAsia="zh-CN"/>
        </w:rPr>
        <w:t>那曲市特色产业层级分类</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_Toc243241451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59</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47907224">
      <w:pPr>
        <w:pStyle w:val="14"/>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"_Toc243241452" </w:instrText>
      </w:r>
      <w:r>
        <w:rPr>
          <w:rFonts w:ascii="Times New Roman" w:hAnsi="Times New Roman"/>
          <w:sz w:val="28"/>
          <w:szCs w:val="28"/>
        </w:rPr>
        <w:fldChar w:fldCharType="separate"/>
      </w:r>
      <w:r>
        <w:rPr>
          <w:rStyle w:val="25"/>
          <w:rFonts w:hint="eastAsia" w:ascii="Times New Roman" w:hAnsi="Times New Roman" w:eastAsia="方正黑体简体" w:cs="方正黑体简体"/>
          <w:sz w:val="28"/>
          <w:szCs w:val="28"/>
          <w:lang w:val="en-US" w:eastAsia="zh-CN"/>
        </w:rPr>
        <w:t>一、基础产业</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_Toc243241452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59</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0B77B3B6">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"_Toc243241453" </w:instrText>
      </w:r>
      <w:r>
        <w:rPr>
          <w:rFonts w:ascii="Times New Roman" w:hAnsi="Times New Roman"/>
          <w:sz w:val="28"/>
          <w:szCs w:val="28"/>
        </w:rPr>
        <w:fldChar w:fldCharType="separate"/>
      </w:r>
      <w:r>
        <w:rPr>
          <w:rStyle w:val="25"/>
          <w:rFonts w:hint="eastAsia" w:ascii="Times New Roman" w:hAnsi="Times New Roman" w:eastAsia="方正楷体简体" w:cs="方正仿宋简体"/>
          <w:sz w:val="28"/>
          <w:szCs w:val="28"/>
        </w:rPr>
        <w:t>（</w:t>
      </w:r>
      <w:r>
        <w:rPr>
          <w:rStyle w:val="25"/>
          <w:rFonts w:hint="eastAsia" w:ascii="Times New Roman" w:hAnsi="Times New Roman" w:eastAsia="方正楷体简体" w:cs="方正仿宋简体"/>
          <w:sz w:val="28"/>
          <w:szCs w:val="28"/>
          <w:lang w:eastAsia="zh-CN"/>
        </w:rPr>
        <w:t>一</w:t>
      </w:r>
      <w:r>
        <w:rPr>
          <w:rStyle w:val="25"/>
          <w:rFonts w:hint="eastAsia" w:ascii="Times New Roman" w:hAnsi="Times New Roman" w:eastAsia="方正楷体简体" w:cs="方正仿宋简体"/>
          <w:sz w:val="28"/>
          <w:szCs w:val="28"/>
        </w:rPr>
        <w:t>）高原特色畜牧业</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_Toc243241453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59</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0A35FE6C">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"_Toc243241454"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eastAsia="zh-CN"/>
        </w:rPr>
        <w:t>1</w:t>
      </w:r>
      <w:r>
        <w:rPr>
          <w:rStyle w:val="25"/>
          <w:rFonts w:hint="eastAsia" w:ascii="Times New Roman" w:hAnsi="Times New Roman" w:eastAsia="方正仿宋简体" w:cs="方正仿宋简体"/>
          <w:bCs/>
          <w:sz w:val="28"/>
          <w:szCs w:val="28"/>
          <w:lang w:val="en-US"/>
        </w:rPr>
        <w:t>．</w:t>
      </w:r>
      <w:r>
        <w:rPr>
          <w:rStyle w:val="25"/>
          <w:rFonts w:hint="eastAsia" w:ascii="Times New Roman" w:hAnsi="Times New Roman" w:eastAsia="方正仿宋简体" w:cs="方正仿宋简体"/>
          <w:bCs/>
          <w:sz w:val="28"/>
          <w:szCs w:val="28"/>
          <w:lang w:eastAsia="zh-CN"/>
        </w:rPr>
        <w:t>资源优势</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_Toc243241454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61</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546E3CA4">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"_Toc243241455"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eastAsia="zh-CN"/>
        </w:rPr>
        <w:t>2</w:t>
      </w:r>
      <w:r>
        <w:rPr>
          <w:rStyle w:val="25"/>
          <w:rFonts w:hint="eastAsia" w:ascii="Times New Roman" w:hAnsi="Times New Roman" w:eastAsia="方正仿宋简体" w:cs="方正仿宋简体"/>
          <w:bCs/>
          <w:sz w:val="28"/>
          <w:szCs w:val="28"/>
          <w:lang w:val="en-US"/>
        </w:rPr>
        <w:t>．</w:t>
      </w:r>
      <w:r>
        <w:rPr>
          <w:rStyle w:val="25"/>
          <w:rFonts w:hint="eastAsia" w:ascii="Times New Roman" w:hAnsi="Times New Roman" w:eastAsia="方正仿宋简体" w:cs="方正仿宋简体"/>
          <w:bCs/>
          <w:sz w:val="28"/>
          <w:szCs w:val="28"/>
          <w:lang w:eastAsia="zh-CN"/>
        </w:rPr>
        <w:t>产业环境</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_Toc243241455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62</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24193D64">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"_Toc243241456"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eastAsia="zh-CN"/>
        </w:rPr>
        <w:t>3</w:t>
      </w:r>
      <w:r>
        <w:rPr>
          <w:rStyle w:val="25"/>
          <w:rFonts w:hint="eastAsia" w:ascii="Times New Roman" w:hAnsi="Times New Roman" w:eastAsia="方正仿宋简体" w:cs="方正仿宋简体"/>
          <w:bCs/>
          <w:sz w:val="28"/>
          <w:szCs w:val="28"/>
          <w:lang w:val="en-US"/>
        </w:rPr>
        <w:t>．</w:t>
      </w:r>
      <w:r>
        <w:rPr>
          <w:rStyle w:val="25"/>
          <w:rFonts w:hint="eastAsia" w:ascii="Times New Roman" w:hAnsi="Times New Roman" w:eastAsia="方正仿宋简体" w:cs="方正仿宋简体"/>
          <w:bCs/>
          <w:sz w:val="28"/>
          <w:szCs w:val="28"/>
          <w:lang w:eastAsia="zh-CN"/>
        </w:rPr>
        <w:t>政策支持</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_Toc243241456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62</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7754E8B0">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"_Toc243241457"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eastAsia="zh-CN"/>
        </w:rPr>
        <w:t>4</w:t>
      </w:r>
      <w:r>
        <w:rPr>
          <w:rStyle w:val="25"/>
          <w:rFonts w:hint="eastAsia" w:ascii="Times New Roman" w:hAnsi="Times New Roman" w:eastAsia="方正仿宋简体" w:cs="方正仿宋简体"/>
          <w:bCs/>
          <w:sz w:val="28"/>
          <w:szCs w:val="28"/>
          <w:lang w:val="en-US"/>
        </w:rPr>
        <w:t>．</w:t>
      </w:r>
      <w:r>
        <w:rPr>
          <w:rStyle w:val="25"/>
          <w:rFonts w:hint="eastAsia" w:ascii="Times New Roman" w:hAnsi="Times New Roman" w:eastAsia="方正仿宋简体" w:cs="方正仿宋简体"/>
          <w:bCs/>
          <w:sz w:val="28"/>
          <w:szCs w:val="28"/>
          <w:lang w:eastAsia="zh-CN"/>
        </w:rPr>
        <w:t>竞争力</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_Toc243241457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63</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0F6F8D18">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"_Toc243241458"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eastAsia="zh-CN"/>
        </w:rPr>
        <w:t>5</w:t>
      </w:r>
      <w:r>
        <w:rPr>
          <w:rStyle w:val="25"/>
          <w:rFonts w:hint="eastAsia" w:ascii="Times New Roman" w:hAnsi="Times New Roman" w:eastAsia="方正仿宋简体" w:cs="方正仿宋简体"/>
          <w:bCs/>
          <w:sz w:val="28"/>
          <w:szCs w:val="28"/>
          <w:lang w:val="en-US"/>
        </w:rPr>
        <w:t>．</w:t>
      </w:r>
      <w:r>
        <w:rPr>
          <w:rStyle w:val="25"/>
          <w:rFonts w:hint="eastAsia" w:ascii="Times New Roman" w:hAnsi="Times New Roman" w:eastAsia="方正仿宋简体" w:cs="方正仿宋简体"/>
          <w:bCs/>
          <w:sz w:val="28"/>
          <w:szCs w:val="28"/>
          <w:lang w:eastAsia="zh-CN"/>
        </w:rPr>
        <w:t>发展潜力</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_Toc243241458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63</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45848D96">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"_Toc243241459" </w:instrText>
      </w:r>
      <w:r>
        <w:rPr>
          <w:rFonts w:ascii="Times New Roman" w:hAnsi="Times New Roman"/>
          <w:sz w:val="28"/>
          <w:szCs w:val="28"/>
        </w:rPr>
        <w:fldChar w:fldCharType="separate"/>
      </w:r>
      <w:r>
        <w:rPr>
          <w:rStyle w:val="25"/>
          <w:rFonts w:hint="eastAsia" w:ascii="Times New Roman" w:hAnsi="Times New Roman" w:eastAsia="方正楷体简体" w:cs="方正仿宋简体"/>
          <w:sz w:val="28"/>
          <w:szCs w:val="28"/>
        </w:rPr>
        <w:t>（二）高原特色种植业</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_Toc243241459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65</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0938925B">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"_Toc243241460"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eastAsia="zh-CN"/>
        </w:rPr>
        <w:t>1</w:t>
      </w:r>
      <w:r>
        <w:rPr>
          <w:rStyle w:val="25"/>
          <w:rFonts w:hint="eastAsia" w:ascii="Times New Roman" w:hAnsi="Times New Roman" w:eastAsia="方正仿宋简体" w:cs="方正仿宋简体"/>
          <w:bCs/>
          <w:sz w:val="28"/>
          <w:szCs w:val="28"/>
          <w:lang w:val="en-US"/>
        </w:rPr>
        <w:t>．</w:t>
      </w:r>
      <w:r>
        <w:rPr>
          <w:rStyle w:val="25"/>
          <w:rFonts w:hint="eastAsia" w:ascii="Times New Roman" w:hAnsi="Times New Roman" w:eastAsia="方正仿宋简体" w:cs="方正仿宋简体"/>
          <w:bCs/>
          <w:sz w:val="28"/>
          <w:szCs w:val="28"/>
          <w:lang w:eastAsia="zh-CN"/>
        </w:rPr>
        <w:t>资源优势</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_Toc243241460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69</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5A535EE2">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"_Toc243241461"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eastAsia="zh-CN"/>
        </w:rPr>
        <w:t>2</w:t>
      </w:r>
      <w:r>
        <w:rPr>
          <w:rStyle w:val="25"/>
          <w:rFonts w:hint="eastAsia" w:ascii="Times New Roman" w:hAnsi="Times New Roman" w:eastAsia="方正仿宋简体" w:cs="方正仿宋简体"/>
          <w:bCs/>
          <w:sz w:val="28"/>
          <w:szCs w:val="28"/>
          <w:lang w:val="en-US"/>
        </w:rPr>
        <w:t>．</w:t>
      </w:r>
      <w:r>
        <w:rPr>
          <w:rStyle w:val="25"/>
          <w:rFonts w:hint="eastAsia" w:ascii="Times New Roman" w:hAnsi="Times New Roman" w:eastAsia="方正仿宋简体" w:cs="方正仿宋简体"/>
          <w:bCs/>
          <w:sz w:val="28"/>
          <w:szCs w:val="28"/>
          <w:lang w:eastAsia="zh-CN"/>
        </w:rPr>
        <w:t>产业环境</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_Toc243241461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70</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4B6BFC49">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"_Toc243241462"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eastAsia="zh-CN"/>
        </w:rPr>
        <w:t>3</w:t>
      </w:r>
      <w:r>
        <w:rPr>
          <w:rStyle w:val="25"/>
          <w:rFonts w:hint="eastAsia" w:ascii="Times New Roman" w:hAnsi="Times New Roman" w:eastAsia="方正仿宋简体" w:cs="方正仿宋简体"/>
          <w:bCs/>
          <w:sz w:val="28"/>
          <w:szCs w:val="28"/>
          <w:lang w:val="en-US"/>
        </w:rPr>
        <w:t>．</w:t>
      </w:r>
      <w:r>
        <w:rPr>
          <w:rStyle w:val="25"/>
          <w:rFonts w:hint="eastAsia" w:ascii="Times New Roman" w:hAnsi="Times New Roman" w:eastAsia="方正仿宋简体" w:cs="方正仿宋简体"/>
          <w:bCs/>
          <w:sz w:val="28"/>
          <w:szCs w:val="28"/>
          <w:lang w:eastAsia="zh-CN"/>
        </w:rPr>
        <w:t>政策支持</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_Toc243241462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71</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08BA63D9">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"_Toc243241463"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eastAsia="zh-CN"/>
        </w:rPr>
        <w:t>4</w:t>
      </w:r>
      <w:r>
        <w:rPr>
          <w:rStyle w:val="25"/>
          <w:rFonts w:hint="eastAsia" w:ascii="Times New Roman" w:hAnsi="Times New Roman" w:eastAsia="方正仿宋简体" w:cs="方正仿宋简体"/>
          <w:bCs/>
          <w:sz w:val="28"/>
          <w:szCs w:val="28"/>
          <w:lang w:val="en-US"/>
        </w:rPr>
        <w:t>．</w:t>
      </w:r>
      <w:r>
        <w:rPr>
          <w:rStyle w:val="25"/>
          <w:rFonts w:hint="eastAsia" w:ascii="Times New Roman" w:hAnsi="Times New Roman" w:eastAsia="方正仿宋简体" w:cs="方正仿宋简体"/>
          <w:bCs/>
          <w:sz w:val="28"/>
          <w:szCs w:val="28"/>
          <w:lang w:eastAsia="zh-CN"/>
        </w:rPr>
        <w:t>竞争力</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_Toc243241463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71</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719541D0">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"_Toc243241464"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eastAsia="zh-CN"/>
        </w:rPr>
        <w:t>5</w:t>
      </w:r>
      <w:r>
        <w:rPr>
          <w:rStyle w:val="25"/>
          <w:rFonts w:hint="eastAsia" w:ascii="Times New Roman" w:hAnsi="Times New Roman" w:eastAsia="方正仿宋简体" w:cs="方正仿宋简体"/>
          <w:bCs/>
          <w:sz w:val="28"/>
          <w:szCs w:val="28"/>
          <w:lang w:val="en-US"/>
        </w:rPr>
        <w:t>．</w:t>
      </w:r>
      <w:r>
        <w:rPr>
          <w:rStyle w:val="25"/>
          <w:rFonts w:hint="eastAsia" w:ascii="Times New Roman" w:hAnsi="Times New Roman" w:eastAsia="方正仿宋简体" w:cs="方正仿宋简体"/>
          <w:bCs/>
          <w:sz w:val="28"/>
          <w:szCs w:val="28"/>
          <w:lang w:eastAsia="zh-CN"/>
        </w:rPr>
        <w:t>发展潜力</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_Toc243241464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72</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060ABB6E">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"_Toc243241465" </w:instrText>
      </w:r>
      <w:r>
        <w:rPr>
          <w:rFonts w:ascii="Times New Roman" w:hAnsi="Times New Roman"/>
          <w:sz w:val="28"/>
          <w:szCs w:val="28"/>
        </w:rPr>
        <w:fldChar w:fldCharType="separate"/>
      </w:r>
      <w:r>
        <w:rPr>
          <w:rStyle w:val="25"/>
          <w:rFonts w:hint="eastAsia" w:ascii="Times New Roman" w:hAnsi="Times New Roman" w:eastAsia="方正楷体简体" w:cs="方正楷体简体"/>
          <w:sz w:val="28"/>
          <w:szCs w:val="28"/>
        </w:rPr>
        <w:t>（三）民族手工业</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_Toc243241465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74</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64C52FF8">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"_Toc243241466"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eastAsia="zh-CN"/>
        </w:rPr>
        <w:t>1</w:t>
      </w:r>
      <w:r>
        <w:rPr>
          <w:rStyle w:val="25"/>
          <w:rFonts w:hint="eastAsia" w:ascii="Times New Roman" w:hAnsi="Times New Roman" w:eastAsia="方正仿宋简体" w:cs="方正仿宋简体"/>
          <w:bCs/>
          <w:sz w:val="28"/>
          <w:szCs w:val="28"/>
          <w:lang w:val="en-US"/>
        </w:rPr>
        <w:t>．</w:t>
      </w:r>
      <w:r>
        <w:rPr>
          <w:rStyle w:val="25"/>
          <w:rFonts w:hint="eastAsia" w:ascii="Times New Roman" w:hAnsi="Times New Roman" w:eastAsia="方正仿宋简体" w:cs="方正仿宋简体"/>
          <w:bCs/>
          <w:sz w:val="28"/>
          <w:szCs w:val="28"/>
          <w:lang w:eastAsia="zh-CN"/>
        </w:rPr>
        <w:t>资源优势</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_Toc243241466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76</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7BCE2218">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"_Toc243241467"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eastAsia="zh-CN"/>
        </w:rPr>
        <w:t>2．产业环境</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_Toc243241467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77</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2DFEED3A">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"_Toc243241468"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eastAsia="zh-CN"/>
        </w:rPr>
        <w:t>3．政策支持</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_Toc243241468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78</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27DFA350">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"_Toc243241469"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eastAsia="zh-CN"/>
        </w:rPr>
        <w:t>4．核心竞争力</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_Toc243241469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78</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4988F45A">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"_Toc243241470"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eastAsia="zh-CN"/>
        </w:rPr>
        <w:t>5．发展潜力</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_Toc243241470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79</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2612F4B1">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"_Toc243241471" </w:instrText>
      </w:r>
      <w:r>
        <w:rPr>
          <w:rFonts w:ascii="Times New Roman" w:hAnsi="Times New Roman"/>
          <w:sz w:val="28"/>
          <w:szCs w:val="28"/>
        </w:rPr>
        <w:fldChar w:fldCharType="separate"/>
      </w:r>
      <w:r>
        <w:rPr>
          <w:rStyle w:val="25"/>
          <w:rFonts w:hint="eastAsia" w:ascii="Times New Roman" w:hAnsi="Times New Roman" w:eastAsia="方正楷体简体" w:cs="方正仿宋简体"/>
          <w:sz w:val="28"/>
          <w:szCs w:val="28"/>
        </w:rPr>
        <w:t>（四）藏医药产业</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_Toc243241471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80</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4041F587">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"_Toc243241472"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eastAsia="zh-CN"/>
        </w:rPr>
        <w:t>1．资源优势</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_Toc243241472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81</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3D7523F8">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"_Toc243241473"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eastAsia="zh-CN"/>
        </w:rPr>
        <w:t>2．产业环境</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_Toc243241473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82</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51F1B876">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"_Toc243241474"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eastAsia="zh-CN"/>
        </w:rPr>
        <w:t>3．政策支持</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_Toc243241474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82</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413E58C4">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"_Toc243241475"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eastAsia="zh-CN"/>
        </w:rPr>
        <w:t>4．核心竞争力</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_Toc243241475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83</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0FE01F23">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"_Toc243241476"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eastAsia="zh-CN"/>
        </w:rPr>
        <w:t>5．发展潜力</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_Toc243241476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84</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24174394">
      <w:pPr>
        <w:pStyle w:val="14"/>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"_Toc243241477" </w:instrText>
      </w:r>
      <w:r>
        <w:rPr>
          <w:rFonts w:ascii="Times New Roman" w:hAnsi="Times New Roman"/>
          <w:sz w:val="28"/>
          <w:szCs w:val="28"/>
        </w:rPr>
        <w:fldChar w:fldCharType="separate"/>
      </w:r>
      <w:r>
        <w:rPr>
          <w:rStyle w:val="25"/>
          <w:rFonts w:hint="eastAsia" w:ascii="Times New Roman" w:hAnsi="Times New Roman" w:eastAsia="方正黑体简体" w:cs="方正仿宋简体"/>
          <w:sz w:val="28"/>
          <w:szCs w:val="28"/>
          <w:lang w:val="en-US" w:eastAsia="zh-CN"/>
        </w:rPr>
        <w:t>二、支柱产业</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_Toc243241477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85</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2B8851A5">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"_Toc243241478" </w:instrText>
      </w:r>
      <w:r>
        <w:rPr>
          <w:rFonts w:ascii="Times New Roman" w:hAnsi="Times New Roman"/>
          <w:sz w:val="28"/>
          <w:szCs w:val="28"/>
        </w:rPr>
        <w:fldChar w:fldCharType="separate"/>
      </w:r>
      <w:r>
        <w:rPr>
          <w:rStyle w:val="25"/>
          <w:rFonts w:hint="eastAsia" w:ascii="Times New Roman" w:hAnsi="Times New Roman" w:eastAsia="方正楷体简体" w:cs="方正仿宋简体"/>
          <w:sz w:val="28"/>
          <w:szCs w:val="28"/>
        </w:rPr>
        <w:t>（一）</w:t>
      </w:r>
      <w:r>
        <w:rPr>
          <w:rStyle w:val="25"/>
          <w:rFonts w:hint="eastAsia" w:ascii="Times New Roman" w:hAnsi="Times New Roman" w:eastAsia="方正楷体简体" w:cs="方正仿宋简体"/>
          <w:sz w:val="28"/>
          <w:szCs w:val="28"/>
          <w:lang w:eastAsia="zh-CN"/>
        </w:rPr>
        <w:t>高原特色畜牧业</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_Toc243241478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86</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27B0E85B">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"_Toc243241479"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eastAsia="zh-CN"/>
        </w:rPr>
        <w:t>1．产业基础条件扎实雄厚，产业发展底盘稳固</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_Toc243241479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86</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48CEB47D">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"_Toc243241480"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eastAsia="zh-CN"/>
        </w:rPr>
        <w:t>2．产值经济贡献持续攀升，市域支撑作用凸显</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_Toc243241480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87</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3CEEF98D">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"_Toc243241481"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eastAsia="zh-CN"/>
        </w:rPr>
        <w:t>3．就业承载覆盖面广，富民惠民效能突出</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_Toc243241481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87</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36E85D68">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"_Toc243241482"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eastAsia="zh-CN"/>
        </w:rPr>
        <w:t>4．政策扶持体系完备，产业发展保障有力</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_Toc243241482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87</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0B5427B1">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"_Toc243241483"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eastAsia="zh-CN"/>
        </w:rPr>
        <w:t>5．未来成长空间广阔，长期发展动能充沛</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_Toc243241483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88</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36835AA9">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"_Toc243241484" </w:instrText>
      </w:r>
      <w:r>
        <w:rPr>
          <w:rFonts w:ascii="Times New Roman" w:hAnsi="Times New Roman"/>
          <w:sz w:val="28"/>
          <w:szCs w:val="28"/>
        </w:rPr>
        <w:fldChar w:fldCharType="separate"/>
      </w:r>
      <w:r>
        <w:rPr>
          <w:rStyle w:val="25"/>
          <w:rFonts w:hint="eastAsia" w:ascii="Times New Roman" w:hAnsi="Times New Roman" w:eastAsia="方正楷体简体" w:cs="方正仿宋简体"/>
          <w:sz w:val="28"/>
          <w:szCs w:val="28"/>
        </w:rPr>
        <w:t>（二）清洁能源产业</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_Toc243241484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89</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6839E96C">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"_Toc243241485"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val="en-US" w:eastAsia="zh-CN"/>
        </w:rPr>
        <w:t>1．产业基础条件</w:t>
      </w:r>
      <w:r>
        <w:rPr>
          <w:rStyle w:val="25"/>
          <w:rFonts w:hint="eastAsia" w:ascii="Times New Roman" w:hAnsi="Times New Roman" w:eastAsia="方正仿宋简体" w:cs="方正仿宋简体"/>
          <w:bCs/>
          <w:sz w:val="28"/>
          <w:szCs w:val="28"/>
          <w:lang w:eastAsia="zh-CN"/>
        </w:rPr>
        <w:t>得天独厚</w:t>
      </w:r>
      <w:r>
        <w:rPr>
          <w:rStyle w:val="25"/>
          <w:rFonts w:hint="eastAsia" w:ascii="Times New Roman" w:hAnsi="Times New Roman" w:eastAsia="方正仿宋简体" w:cs="方正仿宋简体"/>
          <w:bCs/>
          <w:sz w:val="28"/>
          <w:szCs w:val="28"/>
          <w:lang w:val="en-US" w:eastAsia="zh-CN"/>
        </w:rPr>
        <w:t>，全域绿色发展底盘坚实稳固</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_Toc243241485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89</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10BCC0E2">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"_Toc243241486"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val="en-US" w:eastAsia="zh-CN"/>
        </w:rPr>
        <w:t>2．产值经济贡献持续跃升，工业增长支撑作用凸显</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_Toc243241486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90</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3440601D">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"_Toc243241487"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val="en-US" w:eastAsia="zh-CN"/>
        </w:rPr>
        <w:t>3．就业承载业态</w:t>
      </w:r>
      <w:r>
        <w:rPr>
          <w:rStyle w:val="25"/>
          <w:rFonts w:hint="eastAsia" w:ascii="Times New Roman" w:hAnsi="Times New Roman" w:eastAsia="方正仿宋简体" w:cs="方正仿宋简体"/>
          <w:bCs/>
          <w:sz w:val="28"/>
          <w:szCs w:val="28"/>
          <w:lang w:eastAsia="zh-CN"/>
        </w:rPr>
        <w:t>丰富</w:t>
      </w:r>
      <w:r>
        <w:rPr>
          <w:rStyle w:val="25"/>
          <w:rFonts w:hint="eastAsia" w:ascii="Times New Roman" w:hAnsi="Times New Roman" w:eastAsia="方正仿宋简体" w:cs="方正仿宋简体"/>
          <w:bCs/>
          <w:sz w:val="28"/>
          <w:szCs w:val="28"/>
          <w:lang w:val="en-US" w:eastAsia="zh-CN"/>
        </w:rPr>
        <w:t>，富民赋能空间广阔</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_Toc243241487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91</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24B4135A">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"_Toc243241488"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val="en-US" w:eastAsia="zh-CN"/>
        </w:rPr>
        <w:t>4．政策扶持力度持续加码，产业发展保障系统完备</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_Toc243241488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92</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2B571CDE">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"_Toc243241489"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val="en-US" w:eastAsia="zh-CN"/>
        </w:rPr>
        <w:t>5．未来成长空间极为广阔，产业发展动能充沛充盈</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_Toc243241489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92</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47FB3AD4">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"_Toc243241490" </w:instrText>
      </w:r>
      <w:r>
        <w:rPr>
          <w:rFonts w:ascii="Times New Roman" w:hAnsi="Times New Roman"/>
          <w:sz w:val="28"/>
          <w:szCs w:val="28"/>
        </w:rPr>
        <w:fldChar w:fldCharType="separate"/>
      </w:r>
      <w:r>
        <w:rPr>
          <w:rStyle w:val="25"/>
          <w:rFonts w:hint="eastAsia" w:ascii="Times New Roman" w:hAnsi="Times New Roman" w:eastAsia="方正楷体简体" w:cs="方正仿宋简体"/>
          <w:sz w:val="28"/>
          <w:szCs w:val="28"/>
        </w:rPr>
        <w:t>（三）生态文旅产业</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_Toc243241490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93</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0C0CAA1D">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"_Toc243241491"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val="en-US" w:eastAsia="zh-CN"/>
        </w:rPr>
        <w:t>1．产业基础条件得天独厚，文旅发展底盘持续夯实，筑牢旅游强市建设根基</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_Toc243241491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94</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5CE6DEDE">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"_Toc243241492"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val="en-US" w:eastAsia="zh-CN"/>
        </w:rPr>
        <w:t>2．产值经济贡献高速攀升，三产增长支撑作用凸显，强化旅游强市经济赋能</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_Toc243241492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94</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2000DDAA">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"_Toc243241493"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val="en-US" w:eastAsia="zh-CN"/>
        </w:rPr>
        <w:t>3．就业承载覆盖面广，富民惠民效能扎实突出，夯实“旅游强市”民生基础</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_Toc243241493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95</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5C4495A1">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"_Toc243241494"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val="en-US" w:eastAsia="zh-CN"/>
        </w:rPr>
        <w:t>4．政策扶持体系完善，产业发展保障坚实有力，健全旅游强市支撑体系</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_Toc243241494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95</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4E2D1748">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"_Toc243241495"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val="en-US" w:eastAsia="zh-CN"/>
        </w:rPr>
        <w:t>5．未来成长空间广阔，产业发展动能充沛充盈，激活旅游强市长远势能</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_Toc243241495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96</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32E2FE2C">
      <w:pPr>
        <w:pStyle w:val="14"/>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"_Toc243241496" </w:instrText>
      </w:r>
      <w:r>
        <w:rPr>
          <w:rFonts w:ascii="Times New Roman" w:hAnsi="Times New Roman"/>
          <w:sz w:val="28"/>
          <w:szCs w:val="28"/>
        </w:rPr>
        <w:fldChar w:fldCharType="separate"/>
      </w:r>
      <w:r>
        <w:rPr>
          <w:rStyle w:val="25"/>
          <w:rFonts w:hint="eastAsia" w:ascii="Times New Roman" w:hAnsi="Times New Roman" w:eastAsia="方正黑体简体" w:cs="方正黑体简体"/>
          <w:sz w:val="28"/>
          <w:szCs w:val="28"/>
          <w:lang w:val="en-US" w:eastAsia="zh-CN"/>
        </w:rPr>
        <w:t>三、潜力产业</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_Toc243241496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97</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493DAFBB">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"_Toc243241497" </w:instrText>
      </w:r>
      <w:r>
        <w:rPr>
          <w:rFonts w:ascii="Times New Roman" w:hAnsi="Times New Roman"/>
          <w:sz w:val="28"/>
          <w:szCs w:val="28"/>
        </w:rPr>
        <w:fldChar w:fldCharType="separate"/>
      </w:r>
      <w:r>
        <w:rPr>
          <w:rStyle w:val="25"/>
          <w:rFonts w:hint="eastAsia" w:ascii="Times New Roman" w:hAnsi="Times New Roman" w:eastAsia="方正楷体简体" w:cs="方正楷体简体"/>
          <w:sz w:val="28"/>
          <w:szCs w:val="28"/>
        </w:rPr>
        <w:t>（一）天然饮用水产业</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_Toc243241497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97</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5E8B794A">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"_Toc243241498"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eastAsia="zh-CN"/>
        </w:rPr>
        <w:t>1．产业基础条件稀缺独特，资源禀赋壁垒不可复制</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_Toc243241498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97</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27B8FC5A">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"_Toc243241499"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eastAsia="zh-CN"/>
        </w:rPr>
        <w:t>2．产值经济贡献稳步培育，增量成长动能持续积蓄</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_Toc243241499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98</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7EB5D4D2">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"_Toc243241500"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eastAsia="zh-CN"/>
        </w:rPr>
        <w:t>3．就业承载空间广阔，富民带动潜力持续释放</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_Toc243241500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99</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20B26B1C">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"_Toc243241501"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val="en-US" w:eastAsia="zh-CN"/>
        </w:rPr>
        <w:t>4</w:t>
      </w:r>
      <w:r>
        <w:rPr>
          <w:rStyle w:val="25"/>
          <w:rFonts w:hint="eastAsia" w:ascii="Times New Roman" w:hAnsi="Times New Roman" w:eastAsia="方正仿宋简体" w:cs="方正仿宋简体"/>
          <w:bCs/>
          <w:sz w:val="28"/>
          <w:szCs w:val="28"/>
          <w:lang w:eastAsia="zh-CN"/>
        </w:rPr>
        <w:t>．</w:t>
      </w:r>
      <w:r>
        <w:rPr>
          <w:rStyle w:val="25"/>
          <w:rFonts w:hint="eastAsia" w:ascii="Times New Roman" w:hAnsi="Times New Roman" w:eastAsia="方正仿宋简体" w:cs="方正仿宋简体"/>
          <w:bCs/>
          <w:sz w:val="28"/>
          <w:szCs w:val="28"/>
          <w:lang w:val="en-US" w:eastAsia="zh-CN"/>
        </w:rPr>
        <w:t>政策扶持</w:t>
      </w:r>
      <w:r>
        <w:rPr>
          <w:rStyle w:val="25"/>
          <w:rFonts w:hint="eastAsia" w:ascii="Times New Roman" w:hAnsi="Times New Roman" w:eastAsia="方正仿宋简体" w:cs="方正仿宋简体"/>
          <w:bCs/>
          <w:sz w:val="28"/>
          <w:szCs w:val="28"/>
          <w:lang w:eastAsia="zh-CN"/>
        </w:rPr>
        <w:t>体系</w:t>
      </w:r>
      <w:r>
        <w:rPr>
          <w:rStyle w:val="25"/>
          <w:rFonts w:hint="eastAsia" w:ascii="Times New Roman" w:hAnsi="Times New Roman" w:eastAsia="方正仿宋简体" w:cs="方正仿宋简体"/>
          <w:bCs/>
          <w:sz w:val="28"/>
          <w:szCs w:val="28"/>
          <w:lang w:val="en-US" w:eastAsia="zh-CN"/>
        </w:rPr>
        <w:t>多层联动，产业培育赋能精准有力</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_Toc243241501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99</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77C3DD85">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"_Toc243241502"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val="en-US" w:eastAsia="zh-CN"/>
        </w:rPr>
        <w:t>5</w:t>
      </w:r>
      <w:r>
        <w:rPr>
          <w:rStyle w:val="25"/>
          <w:rFonts w:hint="eastAsia" w:ascii="Times New Roman" w:hAnsi="Times New Roman" w:eastAsia="方正仿宋简体" w:cs="方正仿宋简体"/>
          <w:bCs/>
          <w:sz w:val="28"/>
          <w:szCs w:val="28"/>
          <w:lang w:eastAsia="zh-CN"/>
        </w:rPr>
        <w:t>．</w:t>
      </w:r>
      <w:r>
        <w:rPr>
          <w:rStyle w:val="25"/>
          <w:rFonts w:hint="eastAsia" w:ascii="Times New Roman" w:hAnsi="Times New Roman" w:eastAsia="方正仿宋简体" w:cs="方正仿宋简体"/>
          <w:bCs/>
          <w:sz w:val="28"/>
          <w:szCs w:val="28"/>
          <w:lang w:val="en-US" w:eastAsia="zh-CN"/>
        </w:rPr>
        <w:t>未来成长空间纵深充足，产业迭代进阶路径清晰</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_Toc243241502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100</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30163B0B">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"_Toc243241503" </w:instrText>
      </w:r>
      <w:r>
        <w:rPr>
          <w:rFonts w:ascii="Times New Roman" w:hAnsi="Times New Roman"/>
          <w:sz w:val="28"/>
          <w:szCs w:val="28"/>
        </w:rPr>
        <w:fldChar w:fldCharType="separate"/>
      </w:r>
      <w:r>
        <w:rPr>
          <w:rStyle w:val="25"/>
          <w:rFonts w:hint="eastAsia" w:ascii="Times New Roman" w:hAnsi="Times New Roman" w:eastAsia="方正楷体简体" w:cs="方正仿宋简体"/>
          <w:sz w:val="28"/>
          <w:szCs w:val="28"/>
        </w:rPr>
        <w:t>（二）绿色矿产业</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_Toc243241503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101</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5FE3D50F">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"_Toc243241504"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val="en-US" w:eastAsia="zh-CN"/>
        </w:rPr>
        <w:t>1</w:t>
      </w:r>
      <w:r>
        <w:rPr>
          <w:rStyle w:val="25"/>
          <w:rFonts w:hint="eastAsia" w:ascii="Times New Roman" w:hAnsi="Times New Roman" w:eastAsia="方正仿宋简体" w:cs="方正仿宋简体"/>
          <w:bCs/>
          <w:sz w:val="28"/>
          <w:szCs w:val="28"/>
          <w:lang w:eastAsia="zh-CN"/>
        </w:rPr>
        <w:t>．</w:t>
      </w:r>
      <w:r>
        <w:rPr>
          <w:rStyle w:val="25"/>
          <w:rFonts w:hint="eastAsia" w:ascii="Times New Roman" w:hAnsi="Times New Roman" w:eastAsia="方正仿宋简体" w:cs="方正仿宋简体"/>
          <w:bCs/>
          <w:sz w:val="28"/>
          <w:szCs w:val="28"/>
          <w:lang w:val="en-US" w:eastAsia="zh-CN"/>
        </w:rPr>
        <w:t>产业基础条件禀赋优越，战略资源壁垒不可复制</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_Toc243241504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101</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427185E7">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"_Toc243241505"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val="en-US" w:eastAsia="zh-CN"/>
        </w:rPr>
        <w:t>2</w:t>
      </w:r>
      <w:r>
        <w:rPr>
          <w:rStyle w:val="25"/>
          <w:rFonts w:hint="eastAsia" w:ascii="Times New Roman" w:hAnsi="Times New Roman" w:eastAsia="方正仿宋简体" w:cs="方正仿宋简体"/>
          <w:bCs/>
          <w:sz w:val="28"/>
          <w:szCs w:val="28"/>
          <w:lang w:eastAsia="zh-CN"/>
        </w:rPr>
        <w:t>．</w:t>
      </w:r>
      <w:r>
        <w:rPr>
          <w:rStyle w:val="25"/>
          <w:rFonts w:hint="eastAsia" w:ascii="Times New Roman" w:hAnsi="Times New Roman" w:eastAsia="方正仿宋简体" w:cs="方正仿宋简体"/>
          <w:bCs/>
          <w:sz w:val="28"/>
          <w:szCs w:val="28"/>
          <w:lang w:val="en-US" w:eastAsia="zh-CN"/>
        </w:rPr>
        <w:t>产值经济贡献蓄势待发，增量成长空间极为广阔</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_Toc243241505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102</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182AC683">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"_Toc243241506"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val="en-US" w:eastAsia="zh-CN"/>
        </w:rPr>
        <w:t>3</w:t>
      </w:r>
      <w:r>
        <w:rPr>
          <w:rStyle w:val="25"/>
          <w:rFonts w:hint="eastAsia" w:ascii="Times New Roman" w:hAnsi="Times New Roman" w:eastAsia="方正仿宋简体" w:cs="方正仿宋简体"/>
          <w:bCs/>
          <w:sz w:val="28"/>
          <w:szCs w:val="28"/>
          <w:lang w:eastAsia="zh-CN"/>
        </w:rPr>
        <w:t>．</w:t>
      </w:r>
      <w:r>
        <w:rPr>
          <w:rStyle w:val="25"/>
          <w:rFonts w:hint="eastAsia" w:ascii="Times New Roman" w:hAnsi="Times New Roman" w:eastAsia="方正仿宋简体" w:cs="方正仿宋简体"/>
          <w:bCs/>
          <w:sz w:val="28"/>
          <w:szCs w:val="28"/>
          <w:lang w:val="en-US" w:eastAsia="zh-CN"/>
        </w:rPr>
        <w:t>就业承载层级丰富，富民惠民带动潜力巨大</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_Toc243241506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103</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3C0E5007">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"_Toc243241507"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val="en-US" w:eastAsia="zh-CN"/>
        </w:rPr>
        <w:t>4</w:t>
      </w:r>
      <w:r>
        <w:rPr>
          <w:rStyle w:val="25"/>
          <w:rFonts w:hint="eastAsia" w:ascii="Times New Roman" w:hAnsi="Times New Roman" w:eastAsia="方正仿宋简体" w:cs="方正仿宋简体"/>
          <w:bCs/>
          <w:sz w:val="28"/>
          <w:szCs w:val="28"/>
          <w:lang w:eastAsia="zh-CN"/>
        </w:rPr>
        <w:t>．</w:t>
      </w:r>
      <w:r>
        <w:rPr>
          <w:rStyle w:val="25"/>
          <w:rFonts w:hint="eastAsia" w:ascii="Times New Roman" w:hAnsi="Times New Roman" w:eastAsia="方正仿宋简体" w:cs="方正仿宋简体"/>
          <w:bCs/>
          <w:sz w:val="28"/>
          <w:szCs w:val="28"/>
          <w:lang w:val="en-US" w:eastAsia="zh-CN"/>
        </w:rPr>
        <w:t>政策扶持体系多层联动，绿色发展赋能精准有力</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_Toc243241507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103</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0C20FE7A">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"_Toc243241508"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val="en-US" w:eastAsia="zh-CN"/>
        </w:rPr>
        <w:t>5</w:t>
      </w:r>
      <w:r>
        <w:rPr>
          <w:rStyle w:val="25"/>
          <w:rFonts w:hint="eastAsia" w:ascii="Times New Roman" w:hAnsi="Times New Roman" w:eastAsia="方正仿宋简体" w:cs="方正仿宋简体"/>
          <w:bCs/>
          <w:sz w:val="28"/>
          <w:szCs w:val="28"/>
          <w:lang w:eastAsia="zh-CN"/>
        </w:rPr>
        <w:t>．</w:t>
      </w:r>
      <w:r>
        <w:rPr>
          <w:rStyle w:val="25"/>
          <w:rFonts w:hint="eastAsia" w:ascii="Times New Roman" w:hAnsi="Times New Roman" w:eastAsia="方正仿宋简体" w:cs="方正仿宋简体"/>
          <w:bCs/>
          <w:sz w:val="28"/>
          <w:szCs w:val="28"/>
          <w:lang w:val="en-US" w:eastAsia="zh-CN"/>
        </w:rPr>
        <w:t>未来成长动能充沛，产业迭代进阶路径清晰</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_Toc243241508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104</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68CF514E">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"_Toc243241509" </w:instrText>
      </w:r>
      <w:r>
        <w:rPr>
          <w:rFonts w:ascii="Times New Roman" w:hAnsi="Times New Roman"/>
          <w:sz w:val="28"/>
          <w:szCs w:val="28"/>
        </w:rPr>
        <w:fldChar w:fldCharType="separate"/>
      </w:r>
      <w:r>
        <w:rPr>
          <w:rStyle w:val="25"/>
          <w:rFonts w:hint="eastAsia" w:ascii="Times New Roman" w:hAnsi="Times New Roman" w:eastAsia="方正楷体简体" w:cs="方正小标宋简体"/>
          <w:sz w:val="28"/>
          <w:szCs w:val="28"/>
        </w:rPr>
        <w:t>（三）卤虫卵产业</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_Toc243241509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105</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746F0602">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"_Toc243241510"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val="en-US" w:eastAsia="zh-CN"/>
        </w:rPr>
        <w:t>1</w:t>
      </w:r>
      <w:r>
        <w:rPr>
          <w:rStyle w:val="25"/>
          <w:rFonts w:hint="eastAsia" w:ascii="Times New Roman" w:hAnsi="Times New Roman" w:eastAsia="方正仿宋简体" w:cs="方正仿宋简体"/>
          <w:bCs/>
          <w:sz w:val="28"/>
          <w:szCs w:val="28"/>
          <w:lang w:eastAsia="zh-CN"/>
        </w:rPr>
        <w:t>．</w:t>
      </w:r>
      <w:r>
        <w:rPr>
          <w:rStyle w:val="25"/>
          <w:rFonts w:hint="eastAsia" w:ascii="Times New Roman" w:hAnsi="Times New Roman" w:eastAsia="方正仿宋简体" w:cs="方正仿宋简体"/>
          <w:bCs/>
          <w:sz w:val="28"/>
          <w:szCs w:val="28"/>
          <w:lang w:val="en-US" w:eastAsia="zh-CN"/>
        </w:rPr>
        <w:t>产业基础条件稀缺独特，极地资源壁垒不可复制</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_Toc243241510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105</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62467169">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"_Toc243241511"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val="en-US" w:eastAsia="zh-CN"/>
        </w:rPr>
        <w:t>2</w:t>
      </w:r>
      <w:r>
        <w:rPr>
          <w:rStyle w:val="25"/>
          <w:rFonts w:hint="eastAsia" w:ascii="Times New Roman" w:hAnsi="Times New Roman" w:eastAsia="方正仿宋简体" w:cs="方正仿宋简体"/>
          <w:bCs/>
          <w:sz w:val="28"/>
          <w:szCs w:val="28"/>
          <w:lang w:eastAsia="zh-CN"/>
        </w:rPr>
        <w:t>．</w:t>
      </w:r>
      <w:r>
        <w:rPr>
          <w:rStyle w:val="25"/>
          <w:rFonts w:hint="eastAsia" w:ascii="Times New Roman" w:hAnsi="Times New Roman" w:eastAsia="方正仿宋简体" w:cs="方正仿宋简体"/>
          <w:bCs/>
          <w:sz w:val="28"/>
          <w:szCs w:val="28"/>
          <w:lang w:val="en-US" w:eastAsia="zh-CN"/>
        </w:rPr>
        <w:t>产值经济贡献稳步攀升，增量成长动能持续积蓄</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_Toc243241511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106</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4379BE8F">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"_Toc243241512"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val="en-US" w:eastAsia="zh-CN"/>
        </w:rPr>
        <w:t>3</w:t>
      </w:r>
      <w:r>
        <w:rPr>
          <w:rStyle w:val="25"/>
          <w:rFonts w:hint="eastAsia" w:ascii="Times New Roman" w:hAnsi="Times New Roman" w:eastAsia="方正仿宋简体" w:cs="方正仿宋简体"/>
          <w:bCs/>
          <w:sz w:val="28"/>
          <w:szCs w:val="28"/>
          <w:lang w:eastAsia="zh-CN"/>
        </w:rPr>
        <w:t>．</w:t>
      </w:r>
      <w:r>
        <w:rPr>
          <w:rStyle w:val="25"/>
          <w:rFonts w:hint="eastAsia" w:ascii="Times New Roman" w:hAnsi="Times New Roman" w:eastAsia="方正仿宋简体" w:cs="方正仿宋简体"/>
          <w:bCs/>
          <w:sz w:val="28"/>
          <w:szCs w:val="28"/>
          <w:lang w:val="en-US" w:eastAsia="zh-CN"/>
        </w:rPr>
        <w:t>就业承载覆盖面广，富民惠民支柱效能扎实凸显</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_Toc243241512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107</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30903FA1">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"_Toc243241513"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val="en-US" w:eastAsia="zh-CN"/>
        </w:rPr>
        <w:t>4</w:t>
      </w:r>
      <w:r>
        <w:rPr>
          <w:rStyle w:val="25"/>
          <w:rFonts w:hint="eastAsia" w:ascii="Times New Roman" w:hAnsi="Times New Roman" w:eastAsia="方正仿宋简体" w:cs="方正仿宋简体"/>
          <w:bCs/>
          <w:sz w:val="28"/>
          <w:szCs w:val="28"/>
          <w:lang w:eastAsia="zh-CN"/>
        </w:rPr>
        <w:t>．</w:t>
      </w:r>
      <w:r>
        <w:rPr>
          <w:rStyle w:val="25"/>
          <w:rFonts w:hint="eastAsia" w:ascii="Times New Roman" w:hAnsi="Times New Roman" w:eastAsia="方正仿宋简体" w:cs="方正仿宋简体"/>
          <w:bCs/>
          <w:sz w:val="28"/>
          <w:szCs w:val="28"/>
          <w:lang w:val="en-US" w:eastAsia="zh-CN"/>
        </w:rPr>
        <w:t>政策扶持体系多级联动，产业培育赋能精准有力</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_Toc243241513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107</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28E5C880">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"_Toc243241514"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val="en-US" w:eastAsia="zh-CN"/>
        </w:rPr>
        <w:t>5</w:t>
      </w:r>
      <w:r>
        <w:rPr>
          <w:rStyle w:val="25"/>
          <w:rFonts w:hint="eastAsia" w:ascii="Times New Roman" w:hAnsi="Times New Roman" w:eastAsia="方正仿宋简体" w:cs="方正仿宋简体"/>
          <w:bCs/>
          <w:sz w:val="28"/>
          <w:szCs w:val="28"/>
          <w:lang w:eastAsia="zh-CN"/>
        </w:rPr>
        <w:t>．</w:t>
      </w:r>
      <w:r>
        <w:rPr>
          <w:rStyle w:val="25"/>
          <w:rFonts w:hint="eastAsia" w:ascii="Times New Roman" w:hAnsi="Times New Roman" w:eastAsia="方正仿宋简体" w:cs="方正仿宋简体"/>
          <w:bCs/>
          <w:sz w:val="28"/>
          <w:szCs w:val="28"/>
          <w:lang w:val="en-US" w:eastAsia="zh-CN"/>
        </w:rPr>
        <w:t>未来成长空间纵深充足，产业迭代进阶路径清晰</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_Toc243241514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108</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12499525">
      <w:pPr>
        <w:pStyle w:val="14"/>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"_Toc243241515" </w:instrText>
      </w:r>
      <w:r>
        <w:rPr>
          <w:rFonts w:ascii="Times New Roman" w:hAnsi="Times New Roman"/>
          <w:sz w:val="28"/>
          <w:szCs w:val="28"/>
        </w:rPr>
        <w:fldChar w:fldCharType="separate"/>
      </w:r>
      <w:r>
        <w:rPr>
          <w:rStyle w:val="25"/>
          <w:rFonts w:hint="eastAsia" w:ascii="Times New Roman" w:hAnsi="Times New Roman" w:eastAsia="方正黑体简体" w:cs="方正黑体简体"/>
          <w:bCs/>
          <w:sz w:val="28"/>
          <w:szCs w:val="28"/>
          <w:lang w:val="en-US" w:eastAsia="zh-CN"/>
        </w:rPr>
        <w:t>四、</w:t>
      </w:r>
      <w:r>
        <w:rPr>
          <w:rStyle w:val="25"/>
          <w:rFonts w:hint="eastAsia" w:ascii="Times New Roman" w:hAnsi="Times New Roman" w:eastAsia="方正黑体简体" w:cs="方正黑体简体"/>
          <w:sz w:val="28"/>
          <w:szCs w:val="28"/>
          <w:lang w:val="en-US" w:eastAsia="zh-CN"/>
        </w:rPr>
        <w:t>新兴</w:t>
      </w:r>
      <w:r>
        <w:rPr>
          <w:rStyle w:val="25"/>
          <w:rFonts w:hint="eastAsia" w:ascii="Times New Roman" w:hAnsi="Times New Roman" w:eastAsia="方正黑体简体" w:cs="方正黑体简体"/>
          <w:bCs/>
          <w:sz w:val="28"/>
          <w:szCs w:val="28"/>
          <w:lang w:val="en-US" w:eastAsia="zh-CN"/>
        </w:rPr>
        <w:t>战略产业</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_Toc243241515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109</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2BEB5A39">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"_Toc243241516" </w:instrText>
      </w:r>
      <w:r>
        <w:rPr>
          <w:rFonts w:ascii="Times New Roman" w:hAnsi="Times New Roman"/>
          <w:sz w:val="28"/>
          <w:szCs w:val="28"/>
        </w:rPr>
        <w:fldChar w:fldCharType="separate"/>
      </w:r>
      <w:r>
        <w:rPr>
          <w:rStyle w:val="25"/>
          <w:rFonts w:hint="eastAsia" w:ascii="Times New Roman" w:hAnsi="Times New Roman" w:eastAsia="方正楷体简体" w:cs="方正小标宋简体"/>
          <w:sz w:val="28"/>
          <w:szCs w:val="28"/>
        </w:rPr>
        <w:t>（一）低空经济</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_Toc243241516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109</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7EF115DE">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"_Toc243241517"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val="en-US" w:eastAsia="zh-CN"/>
        </w:rPr>
        <w:t>1</w:t>
      </w:r>
      <w:r>
        <w:rPr>
          <w:rStyle w:val="25"/>
          <w:rFonts w:hint="eastAsia" w:ascii="Times New Roman" w:hAnsi="Times New Roman" w:eastAsia="方正仿宋简体" w:cs="方正仿宋简体"/>
          <w:bCs/>
          <w:sz w:val="28"/>
          <w:szCs w:val="28"/>
          <w:lang w:eastAsia="zh-CN"/>
        </w:rPr>
        <w:t>．</w:t>
      </w:r>
      <w:r>
        <w:rPr>
          <w:rStyle w:val="25"/>
          <w:rFonts w:hint="eastAsia" w:ascii="Times New Roman" w:hAnsi="Times New Roman" w:eastAsia="方正仿宋简体" w:cs="方正仿宋简体"/>
          <w:bCs/>
          <w:sz w:val="28"/>
          <w:szCs w:val="28"/>
          <w:lang w:val="en-US" w:eastAsia="zh-CN"/>
        </w:rPr>
        <w:t>战略定位层级突出，紧扣国家区域重大发展布局</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_Toc243241517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109</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01E0EBB3">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"_Toc243241518"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val="en-US" w:eastAsia="zh-CN"/>
        </w:rPr>
        <w:t>2</w:t>
      </w:r>
      <w:r>
        <w:rPr>
          <w:rStyle w:val="25"/>
          <w:rFonts w:hint="eastAsia" w:ascii="Times New Roman" w:hAnsi="Times New Roman" w:eastAsia="方正仿宋简体" w:cs="方正仿宋简体"/>
          <w:bCs/>
          <w:sz w:val="28"/>
          <w:szCs w:val="28"/>
          <w:lang w:eastAsia="zh-CN"/>
        </w:rPr>
        <w:t>．</w:t>
      </w:r>
      <w:r>
        <w:rPr>
          <w:rStyle w:val="25"/>
          <w:rFonts w:hint="eastAsia" w:ascii="Times New Roman" w:hAnsi="Times New Roman" w:eastAsia="方正仿宋简体" w:cs="方正仿宋简体"/>
          <w:bCs/>
          <w:sz w:val="28"/>
          <w:szCs w:val="28"/>
          <w:lang w:val="en-US" w:eastAsia="zh-CN"/>
        </w:rPr>
        <w:t>科技创新属性鲜明，高新技术驱动产业迭代升级</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_Toc243241518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110</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2CBEE3DB">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"_Toc243241519"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val="en-US" w:eastAsia="zh-CN"/>
        </w:rPr>
        <w:t>3</w:t>
      </w:r>
      <w:r>
        <w:rPr>
          <w:rStyle w:val="25"/>
          <w:rFonts w:hint="eastAsia" w:ascii="Times New Roman" w:hAnsi="Times New Roman" w:eastAsia="方正仿宋简体" w:cs="方正仿宋简体"/>
          <w:bCs/>
          <w:sz w:val="28"/>
          <w:szCs w:val="28"/>
          <w:lang w:eastAsia="zh-CN"/>
        </w:rPr>
        <w:t>．</w:t>
      </w:r>
      <w:r>
        <w:rPr>
          <w:rStyle w:val="25"/>
          <w:rFonts w:hint="eastAsia" w:ascii="Times New Roman" w:hAnsi="Times New Roman" w:eastAsia="方正仿宋简体" w:cs="方正仿宋简体"/>
          <w:bCs/>
          <w:sz w:val="28"/>
          <w:szCs w:val="28"/>
          <w:lang w:val="en-US" w:eastAsia="zh-CN"/>
        </w:rPr>
        <w:t>产业成长潜力充沛，中长期增长空间广阔</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_Toc243241519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111</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32381A62">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"_Toc243241520"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val="en-US" w:eastAsia="zh-CN"/>
        </w:rPr>
        <w:t>4</w:t>
      </w:r>
      <w:r>
        <w:rPr>
          <w:rStyle w:val="25"/>
          <w:rFonts w:hint="eastAsia" w:ascii="Times New Roman" w:hAnsi="Times New Roman" w:eastAsia="方正仿宋简体" w:cs="方正仿宋简体"/>
          <w:bCs/>
          <w:sz w:val="28"/>
          <w:szCs w:val="28"/>
          <w:lang w:eastAsia="zh-CN"/>
        </w:rPr>
        <w:t>．</w:t>
      </w:r>
      <w:r>
        <w:rPr>
          <w:rStyle w:val="25"/>
          <w:rFonts w:hint="eastAsia" w:ascii="Times New Roman" w:hAnsi="Times New Roman" w:eastAsia="方正仿宋简体" w:cs="方正仿宋简体"/>
          <w:bCs/>
          <w:sz w:val="28"/>
          <w:szCs w:val="28"/>
          <w:lang w:val="en-US" w:eastAsia="zh-CN"/>
        </w:rPr>
        <w:t>跨界融合赋能强劲，全方位撬动那曲特色产业升级</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_Toc243241520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112</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2D58F992">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"_Toc243241521"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val="en-US" w:eastAsia="zh-CN"/>
        </w:rPr>
        <w:t>5</w:t>
      </w:r>
      <w:r>
        <w:rPr>
          <w:rStyle w:val="25"/>
          <w:rFonts w:hint="eastAsia" w:ascii="Times New Roman" w:hAnsi="Times New Roman" w:eastAsia="方正仿宋简体" w:cs="方正仿宋简体"/>
          <w:bCs/>
          <w:sz w:val="28"/>
          <w:szCs w:val="28"/>
          <w:lang w:eastAsia="zh-CN"/>
        </w:rPr>
        <w:t>．</w:t>
      </w:r>
      <w:r>
        <w:rPr>
          <w:rStyle w:val="25"/>
          <w:rFonts w:hint="eastAsia" w:ascii="Times New Roman" w:hAnsi="Times New Roman" w:eastAsia="方正仿宋简体" w:cs="方正仿宋简体"/>
          <w:bCs/>
          <w:sz w:val="28"/>
          <w:szCs w:val="28"/>
          <w:lang w:val="en-US" w:eastAsia="zh-CN"/>
        </w:rPr>
        <w:t>长期综合价值突出，绿色低碳引领区域产业转型方向</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_Toc243241521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112</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496B12F5">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"_Toc243241522" </w:instrText>
      </w:r>
      <w:r>
        <w:rPr>
          <w:rFonts w:ascii="Times New Roman" w:hAnsi="Times New Roman"/>
          <w:sz w:val="28"/>
          <w:szCs w:val="28"/>
        </w:rPr>
        <w:fldChar w:fldCharType="separate"/>
      </w:r>
      <w:r>
        <w:rPr>
          <w:rStyle w:val="25"/>
          <w:rFonts w:hint="eastAsia" w:ascii="Times New Roman" w:hAnsi="Times New Roman" w:eastAsia="方正楷体简体" w:cs="方正仿宋简体"/>
          <w:sz w:val="28"/>
          <w:szCs w:val="28"/>
        </w:rPr>
        <w:t>（二）算力经济</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_Toc243241522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113</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2BC30E55">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"_Toc243241523"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val="en-US" w:eastAsia="zh-CN"/>
        </w:rPr>
        <w:t>1</w:t>
      </w:r>
      <w:r>
        <w:rPr>
          <w:rStyle w:val="25"/>
          <w:rFonts w:hint="eastAsia" w:ascii="Times New Roman" w:hAnsi="Times New Roman" w:eastAsia="方正仿宋简体" w:cs="方正仿宋简体"/>
          <w:bCs/>
          <w:sz w:val="28"/>
          <w:szCs w:val="28"/>
          <w:lang w:eastAsia="zh-CN"/>
        </w:rPr>
        <w:t>．</w:t>
      </w:r>
      <w:r>
        <w:rPr>
          <w:rStyle w:val="25"/>
          <w:rFonts w:hint="eastAsia" w:ascii="Times New Roman" w:hAnsi="Times New Roman" w:eastAsia="方正仿宋简体" w:cs="方正仿宋简体"/>
          <w:bCs/>
          <w:sz w:val="28"/>
          <w:szCs w:val="28"/>
          <w:lang w:val="en-US" w:eastAsia="zh-CN"/>
        </w:rPr>
        <w:t>战略定位层级突出，全面融入国家区域重大发展布局</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_Toc243241523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114</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750997BC">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"_Toc243241524"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val="en-US" w:eastAsia="zh-CN"/>
        </w:rPr>
        <w:t>2</w:t>
      </w:r>
      <w:r>
        <w:rPr>
          <w:rStyle w:val="25"/>
          <w:rFonts w:hint="eastAsia" w:ascii="Times New Roman" w:hAnsi="Times New Roman" w:eastAsia="方正仿宋简体" w:cs="方正仿宋简体"/>
          <w:bCs/>
          <w:sz w:val="28"/>
          <w:szCs w:val="28"/>
          <w:lang w:eastAsia="zh-CN"/>
        </w:rPr>
        <w:t>．</w:t>
      </w:r>
      <w:r>
        <w:rPr>
          <w:rStyle w:val="25"/>
          <w:rFonts w:hint="eastAsia" w:ascii="Times New Roman" w:hAnsi="Times New Roman" w:eastAsia="方正仿宋简体" w:cs="方正仿宋简体"/>
          <w:bCs/>
          <w:sz w:val="28"/>
          <w:szCs w:val="28"/>
          <w:lang w:val="en-US" w:eastAsia="zh-CN"/>
        </w:rPr>
        <w:t>科技创新属性鲜明，数字技术驱动产业迭代升级</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_Toc243241524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115</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0C0F04BB">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"_Toc243241525"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val="en-US" w:eastAsia="zh-CN"/>
        </w:rPr>
        <w:t>3</w:t>
      </w:r>
      <w:r>
        <w:rPr>
          <w:rStyle w:val="25"/>
          <w:rFonts w:hint="eastAsia" w:ascii="Times New Roman" w:hAnsi="Times New Roman" w:eastAsia="方正仿宋简体" w:cs="方正仿宋简体"/>
          <w:bCs/>
          <w:sz w:val="28"/>
          <w:szCs w:val="28"/>
          <w:lang w:eastAsia="zh-CN"/>
        </w:rPr>
        <w:t>．</w:t>
      </w:r>
      <w:r>
        <w:rPr>
          <w:rStyle w:val="25"/>
          <w:rFonts w:hint="eastAsia" w:ascii="Times New Roman" w:hAnsi="Times New Roman" w:eastAsia="方正仿宋简体" w:cs="方正仿宋简体"/>
          <w:bCs/>
          <w:sz w:val="28"/>
          <w:szCs w:val="28"/>
          <w:lang w:val="en-US" w:eastAsia="zh-CN"/>
        </w:rPr>
        <w:t>产业成长潜力充沛，中长期增长空间广阔</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_Toc243241525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115</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3735301C">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"_Toc243241526"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val="en-US" w:eastAsia="zh-CN"/>
        </w:rPr>
        <w:t>4</w:t>
      </w:r>
      <w:r>
        <w:rPr>
          <w:rStyle w:val="25"/>
          <w:rFonts w:hint="eastAsia" w:ascii="Times New Roman" w:hAnsi="Times New Roman" w:eastAsia="方正仿宋简体" w:cs="方正仿宋简体"/>
          <w:bCs/>
          <w:sz w:val="28"/>
          <w:szCs w:val="28"/>
          <w:lang w:eastAsia="zh-CN"/>
        </w:rPr>
        <w:t>．</w:t>
      </w:r>
      <w:r>
        <w:rPr>
          <w:rStyle w:val="25"/>
          <w:rFonts w:hint="eastAsia" w:ascii="Times New Roman" w:hAnsi="Times New Roman" w:eastAsia="方正仿宋简体" w:cs="方正仿宋简体"/>
          <w:bCs/>
          <w:sz w:val="28"/>
          <w:szCs w:val="28"/>
          <w:lang w:val="en-US" w:eastAsia="zh-CN"/>
        </w:rPr>
        <w:t>跨界融合赋能强劲，全方位撬动那曲特色产业升级</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_Toc243241526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116</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0E83622A">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"_Toc243241527"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val="en-US" w:eastAsia="zh-CN"/>
        </w:rPr>
        <w:t>5</w:t>
      </w:r>
      <w:r>
        <w:rPr>
          <w:rStyle w:val="25"/>
          <w:rFonts w:hint="eastAsia" w:ascii="Times New Roman" w:hAnsi="Times New Roman" w:eastAsia="方正仿宋简体" w:cs="方正仿宋简体"/>
          <w:bCs/>
          <w:sz w:val="28"/>
          <w:szCs w:val="28"/>
          <w:lang w:eastAsia="zh-CN"/>
        </w:rPr>
        <w:t>．</w:t>
      </w:r>
      <w:r>
        <w:rPr>
          <w:rStyle w:val="25"/>
          <w:rFonts w:hint="eastAsia" w:ascii="Times New Roman" w:hAnsi="Times New Roman" w:eastAsia="方正仿宋简体" w:cs="方正仿宋简体"/>
          <w:bCs/>
          <w:sz w:val="28"/>
          <w:szCs w:val="28"/>
          <w:lang w:val="en-US" w:eastAsia="zh-CN"/>
        </w:rPr>
        <w:t>长期综合价值突出，绿色低碳引领区域产业转型方向</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_Toc243241527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117</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61599D61">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"_Toc243241528" </w:instrText>
      </w:r>
      <w:r>
        <w:rPr>
          <w:rFonts w:ascii="Times New Roman" w:hAnsi="Times New Roman"/>
          <w:sz w:val="28"/>
          <w:szCs w:val="28"/>
        </w:rPr>
        <w:fldChar w:fldCharType="separate"/>
      </w:r>
      <w:r>
        <w:rPr>
          <w:rStyle w:val="25"/>
          <w:rFonts w:hint="eastAsia" w:ascii="Times New Roman" w:hAnsi="Times New Roman" w:eastAsia="方正楷体简体" w:cs="方正楷体简体"/>
          <w:sz w:val="28"/>
          <w:szCs w:val="28"/>
        </w:rPr>
        <w:t>（三）交通物流产业</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_Toc243241528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118</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45F76DF3">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"_Toc243241529"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val="en-US" w:eastAsia="zh-CN"/>
        </w:rPr>
        <w:t>1</w:t>
      </w:r>
      <w:r>
        <w:rPr>
          <w:rStyle w:val="25"/>
          <w:rFonts w:hint="eastAsia" w:ascii="Times New Roman" w:hAnsi="Times New Roman" w:eastAsia="方正仿宋简体" w:cs="方正仿宋简体"/>
          <w:bCs/>
          <w:sz w:val="28"/>
          <w:szCs w:val="28"/>
          <w:lang w:eastAsia="zh-CN"/>
        </w:rPr>
        <w:t>．</w:t>
      </w:r>
      <w:r>
        <w:rPr>
          <w:rStyle w:val="25"/>
          <w:rFonts w:hint="eastAsia" w:ascii="Times New Roman" w:hAnsi="Times New Roman" w:eastAsia="方正仿宋简体" w:cs="方正仿宋简体"/>
          <w:bCs/>
          <w:sz w:val="28"/>
          <w:szCs w:val="28"/>
          <w:lang w:val="en-US" w:eastAsia="zh-CN"/>
        </w:rPr>
        <w:t>战略定位层级突出，深度融入国家区域重大发展布局</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_Toc243241529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119</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4041E9B4">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"_Toc243241530"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val="en-US" w:eastAsia="zh-CN"/>
        </w:rPr>
        <w:t>2</w:t>
      </w:r>
      <w:r>
        <w:rPr>
          <w:rStyle w:val="25"/>
          <w:rFonts w:hint="eastAsia" w:ascii="Times New Roman" w:hAnsi="Times New Roman" w:eastAsia="方正仿宋简体" w:cs="方正仿宋简体"/>
          <w:bCs/>
          <w:sz w:val="28"/>
          <w:szCs w:val="28"/>
          <w:lang w:eastAsia="zh-CN"/>
        </w:rPr>
        <w:t>．</w:t>
      </w:r>
      <w:r>
        <w:rPr>
          <w:rStyle w:val="25"/>
          <w:rFonts w:hint="eastAsia" w:ascii="Times New Roman" w:hAnsi="Times New Roman" w:eastAsia="方正仿宋简体" w:cs="方正仿宋简体"/>
          <w:bCs/>
          <w:sz w:val="28"/>
          <w:szCs w:val="28"/>
          <w:lang w:val="en-US" w:eastAsia="zh-CN"/>
        </w:rPr>
        <w:t>科技创新属性鲜明，数字智能技术驱动产业迭代升级</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_Toc243241530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120</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3BAF83D8">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"_Toc243241531"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val="en-US" w:eastAsia="zh-CN"/>
        </w:rPr>
        <w:t>3</w:t>
      </w:r>
      <w:r>
        <w:rPr>
          <w:rStyle w:val="25"/>
          <w:rFonts w:hint="eastAsia" w:ascii="Times New Roman" w:hAnsi="Times New Roman" w:eastAsia="方正仿宋简体" w:cs="方正仿宋简体"/>
          <w:bCs/>
          <w:sz w:val="28"/>
          <w:szCs w:val="28"/>
          <w:lang w:eastAsia="zh-CN"/>
        </w:rPr>
        <w:t>．</w:t>
      </w:r>
      <w:r>
        <w:rPr>
          <w:rStyle w:val="25"/>
          <w:rFonts w:hint="eastAsia" w:ascii="Times New Roman" w:hAnsi="Times New Roman" w:eastAsia="方正仿宋简体" w:cs="方正仿宋简体"/>
          <w:bCs/>
          <w:sz w:val="28"/>
          <w:szCs w:val="28"/>
          <w:lang w:val="en-US" w:eastAsia="zh-CN"/>
        </w:rPr>
        <w:t>产业成长潜力充沛，中长期增长空间广阔</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_Toc243241531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121</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5761CD0F">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"_Toc243241532"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val="en-US" w:eastAsia="zh-CN"/>
        </w:rPr>
        <w:t>4</w:t>
      </w:r>
      <w:r>
        <w:rPr>
          <w:rStyle w:val="25"/>
          <w:rFonts w:hint="eastAsia" w:ascii="Times New Roman" w:hAnsi="Times New Roman" w:eastAsia="方正仿宋简体" w:cs="方正仿宋简体"/>
          <w:bCs/>
          <w:sz w:val="28"/>
          <w:szCs w:val="28"/>
          <w:lang w:eastAsia="zh-CN"/>
        </w:rPr>
        <w:t>．</w:t>
      </w:r>
      <w:r>
        <w:rPr>
          <w:rStyle w:val="25"/>
          <w:rFonts w:hint="eastAsia" w:ascii="Times New Roman" w:hAnsi="Times New Roman" w:eastAsia="方正仿宋简体" w:cs="方正仿宋简体"/>
          <w:bCs/>
          <w:sz w:val="28"/>
          <w:szCs w:val="28"/>
          <w:lang w:val="en-US" w:eastAsia="zh-CN"/>
        </w:rPr>
        <w:t>跨界融合赋能强劲，全方位撬动那曲特色产业提质升级</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_Toc243241532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121</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5E049F40">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"_Toc243241533"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val="en-US" w:eastAsia="zh-CN"/>
        </w:rPr>
        <w:t>5</w:t>
      </w:r>
      <w:r>
        <w:rPr>
          <w:rStyle w:val="25"/>
          <w:rFonts w:hint="eastAsia" w:ascii="Times New Roman" w:hAnsi="Times New Roman" w:eastAsia="方正仿宋简体" w:cs="方正仿宋简体"/>
          <w:bCs/>
          <w:sz w:val="28"/>
          <w:szCs w:val="28"/>
          <w:lang w:eastAsia="zh-CN"/>
        </w:rPr>
        <w:t>．</w:t>
      </w:r>
      <w:r>
        <w:rPr>
          <w:rStyle w:val="25"/>
          <w:rFonts w:hint="eastAsia" w:ascii="Times New Roman" w:hAnsi="Times New Roman" w:eastAsia="方正仿宋简体" w:cs="方正仿宋简体"/>
          <w:bCs/>
          <w:sz w:val="28"/>
          <w:szCs w:val="28"/>
          <w:lang w:val="en-US" w:eastAsia="zh-CN"/>
        </w:rPr>
        <w:t>长期综合价值突出，绿色低碳引领区域流通产业转型方向</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_Toc243241533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122</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725E3C2E">
      <w:pPr>
        <w:pStyle w:val="14"/>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"_Toc243241534" </w:instrText>
      </w:r>
      <w:r>
        <w:rPr>
          <w:rFonts w:ascii="Times New Roman" w:hAnsi="Times New Roman"/>
          <w:sz w:val="28"/>
          <w:szCs w:val="28"/>
        </w:rPr>
        <w:fldChar w:fldCharType="separate"/>
      </w:r>
      <w:r>
        <w:rPr>
          <w:rStyle w:val="25"/>
          <w:rFonts w:hint="eastAsia" w:ascii="Times New Roman" w:hAnsi="Times New Roman"/>
          <w:b/>
          <w:spacing w:val="-2"/>
          <w:sz w:val="28"/>
          <w:szCs w:val="28"/>
        </w:rPr>
        <w:t>第五章</w:t>
      </w:r>
      <w:r>
        <w:rPr>
          <w:rStyle w:val="25"/>
          <w:rFonts w:hint="eastAsia" w:ascii="Times New Roman" w:hAnsi="Times New Roman" w:eastAsia="方正小标宋简体" w:cs="方正仿宋简体"/>
          <w:b/>
          <w:spacing w:val="-2"/>
          <w:sz w:val="28"/>
          <w:szCs w:val="28"/>
          <w:lang w:val="en-US" w:eastAsia="zh-CN"/>
        </w:rPr>
        <w:t xml:space="preserve"> </w:t>
      </w:r>
      <w:r>
        <w:rPr>
          <w:rStyle w:val="25"/>
          <w:rFonts w:hint="eastAsia" w:ascii="Times New Roman" w:hAnsi="Times New Roman"/>
          <w:b/>
          <w:spacing w:val="-2"/>
          <w:sz w:val="28"/>
          <w:szCs w:val="28"/>
          <w:lang w:val="en-US" w:eastAsia="zh-CN"/>
        </w:rPr>
        <w:t>那曲市特色产业发展面临的问题</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_Toc243241534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125</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24379A10">
      <w:pPr>
        <w:pStyle w:val="14"/>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"_Toc243241535" </w:instrText>
      </w:r>
      <w:r>
        <w:rPr>
          <w:rFonts w:ascii="Times New Roman" w:hAnsi="Times New Roman"/>
          <w:sz w:val="28"/>
          <w:szCs w:val="28"/>
        </w:rPr>
        <w:fldChar w:fldCharType="separate"/>
      </w:r>
      <w:r>
        <w:rPr>
          <w:rStyle w:val="25"/>
          <w:rFonts w:hint="eastAsia" w:ascii="Times New Roman" w:hAnsi="Times New Roman" w:eastAsia="方正黑体简体" w:cs="方正仿宋简体"/>
          <w:sz w:val="28"/>
          <w:szCs w:val="28"/>
          <w:lang w:val="en-US" w:eastAsia="zh-CN"/>
        </w:rPr>
        <w:t>一、内部发展瓶颈</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_Toc243241535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125</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041E1A47">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"_Toc243241536" </w:instrText>
      </w:r>
      <w:r>
        <w:rPr>
          <w:rFonts w:ascii="Times New Roman" w:hAnsi="Times New Roman"/>
          <w:sz w:val="28"/>
          <w:szCs w:val="28"/>
        </w:rPr>
        <w:fldChar w:fldCharType="separate"/>
      </w:r>
      <w:r>
        <w:rPr>
          <w:rStyle w:val="25"/>
          <w:rFonts w:hint="eastAsia" w:ascii="Times New Roman" w:hAnsi="Times New Roman" w:eastAsia="方正楷体简体" w:cs="方正仿宋简体"/>
          <w:sz w:val="28"/>
          <w:szCs w:val="28"/>
        </w:rPr>
        <w:t>（一）产业结构层次不优，产业链条完整性不足</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_Toc243241536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125</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11E2CDB1">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"_Toc243241537" </w:instrText>
      </w:r>
      <w:r>
        <w:rPr>
          <w:rFonts w:ascii="Times New Roman" w:hAnsi="Times New Roman"/>
          <w:sz w:val="28"/>
          <w:szCs w:val="28"/>
        </w:rPr>
        <w:fldChar w:fldCharType="separate"/>
      </w:r>
      <w:r>
        <w:rPr>
          <w:rStyle w:val="25"/>
          <w:rFonts w:hint="eastAsia" w:ascii="Times New Roman" w:hAnsi="Times New Roman" w:eastAsia="方正楷体简体" w:cs="方正仿宋简体"/>
          <w:sz w:val="28"/>
          <w:szCs w:val="28"/>
        </w:rPr>
        <w:t>（二）核心要素供给紧缺，产业发展支撑能力薄弱</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_Toc243241537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126</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44F9C61C">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"_Toc243241538" </w:instrText>
      </w:r>
      <w:r>
        <w:rPr>
          <w:rFonts w:ascii="Times New Roman" w:hAnsi="Times New Roman"/>
          <w:sz w:val="28"/>
          <w:szCs w:val="28"/>
        </w:rPr>
        <w:fldChar w:fldCharType="separate"/>
      </w:r>
      <w:r>
        <w:rPr>
          <w:rStyle w:val="25"/>
          <w:rFonts w:hint="eastAsia" w:ascii="Times New Roman" w:hAnsi="Times New Roman" w:eastAsia="方正楷体简体" w:cs="方正仿宋简体"/>
          <w:sz w:val="28"/>
          <w:szCs w:val="28"/>
        </w:rPr>
        <w:t>（三）资源统筹整合不足，同质化竞争问题凸显</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_Toc243241538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127</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3D31EC99">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"_Toc243241539" </w:instrText>
      </w:r>
      <w:r>
        <w:rPr>
          <w:rFonts w:ascii="Times New Roman" w:hAnsi="Times New Roman"/>
          <w:sz w:val="28"/>
          <w:szCs w:val="28"/>
        </w:rPr>
        <w:fldChar w:fldCharType="separate"/>
      </w:r>
      <w:r>
        <w:rPr>
          <w:rStyle w:val="25"/>
          <w:rFonts w:hint="eastAsia" w:ascii="Times New Roman" w:hAnsi="Times New Roman" w:eastAsia="方正楷体简体" w:cs="方正仿宋简体"/>
          <w:sz w:val="28"/>
          <w:szCs w:val="28"/>
        </w:rPr>
        <w:t>（四）生态约束刚性趋紧，产业发展空间持续受限</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_Toc243241539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128</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3F4E8DE9">
      <w:pPr>
        <w:pStyle w:val="14"/>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"_Toc243241540" </w:instrText>
      </w:r>
      <w:r>
        <w:rPr>
          <w:rFonts w:ascii="Times New Roman" w:hAnsi="Times New Roman"/>
          <w:sz w:val="28"/>
          <w:szCs w:val="28"/>
        </w:rPr>
        <w:fldChar w:fldCharType="separate"/>
      </w:r>
      <w:r>
        <w:rPr>
          <w:rStyle w:val="25"/>
          <w:rFonts w:hint="eastAsia" w:ascii="Times New Roman" w:hAnsi="Times New Roman" w:eastAsia="方正黑体简体" w:cs="方正仿宋简体"/>
          <w:sz w:val="28"/>
          <w:szCs w:val="28"/>
          <w:lang w:val="en-US" w:eastAsia="zh-CN"/>
        </w:rPr>
        <w:t>二、外部环境压力</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_Toc243241540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129</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43A705CD">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"_Toc243241541" </w:instrText>
      </w:r>
      <w:r>
        <w:rPr>
          <w:rFonts w:ascii="Times New Roman" w:hAnsi="Times New Roman"/>
          <w:sz w:val="28"/>
          <w:szCs w:val="28"/>
        </w:rPr>
        <w:fldChar w:fldCharType="separate"/>
      </w:r>
      <w:r>
        <w:rPr>
          <w:rStyle w:val="25"/>
          <w:rFonts w:hint="eastAsia" w:ascii="Times New Roman" w:hAnsi="Times New Roman" w:eastAsia="方正楷体简体" w:cs="方正仿宋简体"/>
          <w:sz w:val="28"/>
          <w:szCs w:val="28"/>
        </w:rPr>
        <w:t>（一）区域竞争持续加剧，全域比较优势逐步弱化</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_Toc243241541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129</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7996615C">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"_Toc243241542" </w:instrText>
      </w:r>
      <w:r>
        <w:rPr>
          <w:rFonts w:ascii="Times New Roman" w:hAnsi="Times New Roman"/>
          <w:sz w:val="28"/>
          <w:szCs w:val="28"/>
        </w:rPr>
        <w:fldChar w:fldCharType="separate"/>
      </w:r>
      <w:r>
        <w:rPr>
          <w:rStyle w:val="25"/>
          <w:rFonts w:hint="eastAsia" w:ascii="Times New Roman" w:hAnsi="Times New Roman" w:eastAsia="方正楷体简体" w:cs="方正仿宋简体"/>
          <w:sz w:val="28"/>
          <w:szCs w:val="28"/>
        </w:rPr>
        <w:t>（二）市场消费迭代升级，产品供给适配能力不足</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_Toc243241542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131</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19220919">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"_Toc243241543" </w:instrText>
      </w:r>
      <w:r>
        <w:rPr>
          <w:rFonts w:ascii="Times New Roman" w:hAnsi="Times New Roman"/>
          <w:sz w:val="28"/>
          <w:szCs w:val="28"/>
        </w:rPr>
        <w:fldChar w:fldCharType="separate"/>
      </w:r>
      <w:r>
        <w:rPr>
          <w:rStyle w:val="25"/>
          <w:rFonts w:hint="eastAsia" w:ascii="Times New Roman" w:hAnsi="Times New Roman" w:eastAsia="方正楷体简体" w:cs="方正仿宋简体"/>
          <w:sz w:val="28"/>
          <w:szCs w:val="28"/>
        </w:rPr>
        <w:t>（三）政策统筹协同不足，外部扶持落地碎片化</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_Toc243241543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132</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49C3D587">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"_Toc243241544" </w:instrText>
      </w:r>
      <w:r>
        <w:rPr>
          <w:rFonts w:ascii="Times New Roman" w:hAnsi="Times New Roman"/>
          <w:sz w:val="28"/>
          <w:szCs w:val="28"/>
        </w:rPr>
        <w:fldChar w:fldCharType="separate"/>
      </w:r>
      <w:r>
        <w:rPr>
          <w:rStyle w:val="25"/>
          <w:rFonts w:hint="eastAsia" w:ascii="Times New Roman" w:hAnsi="Times New Roman" w:eastAsia="方正楷体简体" w:cs="方正仿宋简体"/>
          <w:sz w:val="28"/>
          <w:szCs w:val="28"/>
        </w:rPr>
        <w:t>（四）生态空间刚性管控严格，产业开发准入约束多重</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_Toc243241544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132</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78E386E3">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"_Toc243241545"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val="en-US" w:eastAsia="zh-CN"/>
        </w:rPr>
        <w:t>1．全域国土空间管控硬性指标</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_Toc243241545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133</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4BBAB36B">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"_Toc243241546"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val="en-US" w:eastAsia="zh-CN"/>
        </w:rPr>
        <w:t>2．盐湖矿产开发空间准入限制</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_Toc243241546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133</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5481DA93">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"_Toc243241547" </w:instrText>
      </w:r>
      <w:r>
        <w:rPr>
          <w:rFonts w:ascii="Times New Roman" w:hAnsi="Times New Roman"/>
          <w:sz w:val="28"/>
          <w:szCs w:val="28"/>
        </w:rPr>
        <w:fldChar w:fldCharType="separate"/>
      </w:r>
      <w:r>
        <w:rPr>
          <w:rStyle w:val="25"/>
          <w:rFonts w:hint="eastAsia" w:ascii="Times New Roman" w:hAnsi="Times New Roman" w:eastAsia="方正楷体简体" w:cs="方正仿宋简体"/>
          <w:sz w:val="28"/>
          <w:szCs w:val="28"/>
        </w:rPr>
        <w:t>（五）基础设施配套滞后，内外联通保障能力不足</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_Toc243241547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133</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14AB16EA">
      <w:pPr>
        <w:pStyle w:val="14"/>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"_Toc243241548" </w:instrText>
      </w:r>
      <w:r>
        <w:rPr>
          <w:rFonts w:ascii="Times New Roman" w:hAnsi="Times New Roman"/>
          <w:sz w:val="28"/>
          <w:szCs w:val="28"/>
        </w:rPr>
        <w:fldChar w:fldCharType="separate"/>
      </w:r>
      <w:r>
        <w:rPr>
          <w:rStyle w:val="25"/>
          <w:rFonts w:hint="eastAsia" w:ascii="Times New Roman" w:hAnsi="Times New Roman"/>
          <w:b/>
          <w:spacing w:val="-2"/>
          <w:sz w:val="28"/>
          <w:szCs w:val="28"/>
        </w:rPr>
        <w:t>第六章</w:t>
      </w:r>
      <w:r>
        <w:rPr>
          <w:rStyle w:val="25"/>
          <w:rFonts w:hint="eastAsia" w:ascii="Times New Roman" w:hAnsi="Times New Roman" w:eastAsia="方正小标宋简体" w:cs="方正仿宋简体"/>
          <w:b/>
          <w:spacing w:val="-2"/>
          <w:sz w:val="28"/>
          <w:szCs w:val="28"/>
          <w:lang w:val="en-US" w:eastAsia="zh-CN"/>
        </w:rPr>
        <w:t xml:space="preserve"> </w:t>
      </w:r>
      <w:r>
        <w:rPr>
          <w:rStyle w:val="25"/>
          <w:rFonts w:hint="eastAsia" w:ascii="Times New Roman" w:hAnsi="Times New Roman"/>
          <w:b/>
          <w:spacing w:val="-2"/>
          <w:sz w:val="28"/>
          <w:szCs w:val="28"/>
          <w:lang w:val="en-US" w:eastAsia="zh-CN"/>
        </w:rPr>
        <w:t>那曲市特色产业发展趋势与</w:t>
      </w:r>
      <w:r>
        <w:rPr>
          <w:rStyle w:val="25"/>
          <w:rFonts w:hint="eastAsia" w:ascii="Times New Roman" w:hAnsi="Times New Roman" w:eastAsia="___WRD_EMBED_SUB_1372" w:cs="___WRD_EMBED_SUB_1372"/>
          <w:b/>
          <w:spacing w:val="-2"/>
          <w:sz w:val="28"/>
          <w:szCs w:val="28"/>
          <w:lang w:val="en-US" w:eastAsia="zh-CN"/>
        </w:rPr>
        <w:t>前</w:t>
      </w:r>
      <w:r>
        <w:rPr>
          <w:rStyle w:val="25"/>
          <w:rFonts w:hint="eastAsia" w:ascii="Times New Roman" w:hAnsi="Times New Roman"/>
          <w:b/>
          <w:spacing w:val="-2"/>
          <w:sz w:val="28"/>
          <w:szCs w:val="28"/>
          <w:lang w:val="en-US" w:eastAsia="zh-CN"/>
        </w:rPr>
        <w:t>景</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_Toc243241548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135</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029ADCDD">
      <w:pPr>
        <w:pStyle w:val="14"/>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"_Toc243241549" </w:instrText>
      </w:r>
      <w:r>
        <w:rPr>
          <w:rFonts w:ascii="Times New Roman" w:hAnsi="Times New Roman"/>
          <w:sz w:val="28"/>
          <w:szCs w:val="28"/>
        </w:rPr>
        <w:fldChar w:fldCharType="separate"/>
      </w:r>
      <w:r>
        <w:rPr>
          <w:rStyle w:val="25"/>
          <w:rFonts w:hint="eastAsia" w:ascii="Times New Roman" w:hAnsi="Times New Roman" w:eastAsia="方正黑体简体" w:cs="方正仿宋简体"/>
          <w:sz w:val="28"/>
          <w:szCs w:val="28"/>
          <w:lang w:val="en-US" w:eastAsia="zh-CN"/>
        </w:rPr>
        <w:t>一、特色产业技术创新驱动趋势</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_Toc243241549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135</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0A17B333">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"_Toc243241550" </w:instrText>
      </w:r>
      <w:r>
        <w:rPr>
          <w:rFonts w:ascii="Times New Roman" w:hAnsi="Times New Roman"/>
          <w:sz w:val="28"/>
          <w:szCs w:val="28"/>
        </w:rPr>
        <w:fldChar w:fldCharType="separate"/>
      </w:r>
      <w:r>
        <w:rPr>
          <w:rStyle w:val="25"/>
          <w:rFonts w:hint="eastAsia" w:ascii="Times New Roman" w:hAnsi="Times New Roman" w:eastAsia="方正楷体简体" w:cs="方正仿宋简体"/>
          <w:sz w:val="28"/>
          <w:szCs w:val="28"/>
        </w:rPr>
        <w:t>（一）</w:t>
      </w:r>
      <w:r>
        <w:rPr>
          <w:rStyle w:val="25"/>
          <w:rFonts w:hint="eastAsia" w:ascii="Times New Roman" w:hAnsi="Times New Roman" w:eastAsia="方正楷体简体" w:cs="方正仿宋简体"/>
          <w:sz w:val="28"/>
          <w:szCs w:val="28"/>
          <w:lang w:eastAsia="zh-CN"/>
        </w:rPr>
        <w:t>高原特色畜牧业</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_Toc243241550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135</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4A4265C0">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"_Toc243241551" </w:instrText>
      </w:r>
      <w:r>
        <w:rPr>
          <w:rFonts w:ascii="Times New Roman" w:hAnsi="Times New Roman"/>
          <w:sz w:val="28"/>
          <w:szCs w:val="28"/>
        </w:rPr>
        <w:fldChar w:fldCharType="separate"/>
      </w:r>
      <w:r>
        <w:rPr>
          <w:rStyle w:val="25"/>
          <w:rFonts w:hint="eastAsia" w:ascii="Times New Roman" w:hAnsi="Times New Roman" w:eastAsia="方正楷体简体" w:cs="方正楷体简体"/>
          <w:sz w:val="28"/>
          <w:szCs w:val="28"/>
        </w:rPr>
        <w:t>（二）藏医药产业</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_Toc243241551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136</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70464663">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"_Toc243241552" </w:instrText>
      </w:r>
      <w:r>
        <w:rPr>
          <w:rFonts w:ascii="Times New Roman" w:hAnsi="Times New Roman"/>
          <w:sz w:val="28"/>
          <w:szCs w:val="28"/>
        </w:rPr>
        <w:fldChar w:fldCharType="separate"/>
      </w:r>
      <w:r>
        <w:rPr>
          <w:rStyle w:val="25"/>
          <w:rFonts w:hint="eastAsia" w:ascii="Times New Roman" w:hAnsi="Times New Roman" w:eastAsia="方正楷体简体" w:cs="方正楷体简体"/>
          <w:sz w:val="28"/>
          <w:szCs w:val="28"/>
        </w:rPr>
        <w:t>（三）清洁能源产业</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_Toc243241552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137</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5307381A">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"_Toc243241553" </w:instrText>
      </w:r>
      <w:r>
        <w:rPr>
          <w:rFonts w:ascii="Times New Roman" w:hAnsi="Times New Roman"/>
          <w:sz w:val="28"/>
          <w:szCs w:val="28"/>
        </w:rPr>
        <w:fldChar w:fldCharType="separate"/>
      </w:r>
      <w:r>
        <w:rPr>
          <w:rStyle w:val="25"/>
          <w:rFonts w:hint="eastAsia" w:ascii="Times New Roman" w:hAnsi="Times New Roman" w:eastAsia="方正楷体简体" w:cs="方正楷体简体"/>
          <w:sz w:val="28"/>
          <w:szCs w:val="28"/>
        </w:rPr>
        <w:t>（四）生态文旅产业</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_Toc243241553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138</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57002C43">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"_Toc243241554" </w:instrText>
      </w:r>
      <w:r>
        <w:rPr>
          <w:rFonts w:ascii="Times New Roman" w:hAnsi="Times New Roman"/>
          <w:sz w:val="28"/>
          <w:szCs w:val="28"/>
        </w:rPr>
        <w:fldChar w:fldCharType="separate"/>
      </w:r>
      <w:r>
        <w:rPr>
          <w:rStyle w:val="25"/>
          <w:rFonts w:hint="eastAsia" w:ascii="Times New Roman" w:hAnsi="Times New Roman" w:eastAsia="方正楷体简体" w:cs="方正楷体简体"/>
          <w:sz w:val="28"/>
          <w:szCs w:val="28"/>
        </w:rPr>
        <w:t>（五）绿色矿产业</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_Toc243241554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138</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3CAEF8FB">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"_Toc243241555" </w:instrText>
      </w:r>
      <w:r>
        <w:rPr>
          <w:rFonts w:ascii="Times New Roman" w:hAnsi="Times New Roman"/>
          <w:sz w:val="28"/>
          <w:szCs w:val="28"/>
        </w:rPr>
        <w:fldChar w:fldCharType="separate"/>
      </w:r>
      <w:r>
        <w:rPr>
          <w:rStyle w:val="25"/>
          <w:rFonts w:hint="eastAsia" w:ascii="Times New Roman" w:hAnsi="Times New Roman" w:eastAsia="方正楷体简体" w:cs="方正楷体简体"/>
          <w:sz w:val="28"/>
          <w:szCs w:val="28"/>
        </w:rPr>
        <w:t>（六）交通物流产业</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_Toc243241555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139</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1F928B94">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"_Toc243241556" </w:instrText>
      </w:r>
      <w:r>
        <w:rPr>
          <w:rFonts w:ascii="Times New Roman" w:hAnsi="Times New Roman"/>
          <w:sz w:val="28"/>
          <w:szCs w:val="28"/>
        </w:rPr>
        <w:fldChar w:fldCharType="separate"/>
      </w:r>
      <w:r>
        <w:rPr>
          <w:rStyle w:val="25"/>
          <w:rFonts w:hint="eastAsia" w:ascii="Times New Roman" w:hAnsi="Times New Roman" w:eastAsia="方正楷体简体" w:cs="方正楷体简体"/>
          <w:sz w:val="28"/>
          <w:szCs w:val="28"/>
        </w:rPr>
        <w:t>（七）民族手工业</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_Toc243241556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140</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540170CD">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"_Toc243241557" </w:instrText>
      </w:r>
      <w:r>
        <w:rPr>
          <w:rFonts w:ascii="Times New Roman" w:hAnsi="Times New Roman"/>
          <w:sz w:val="28"/>
          <w:szCs w:val="28"/>
        </w:rPr>
        <w:fldChar w:fldCharType="separate"/>
      </w:r>
      <w:r>
        <w:rPr>
          <w:rStyle w:val="25"/>
          <w:rFonts w:hint="eastAsia" w:ascii="Times New Roman" w:hAnsi="Times New Roman" w:eastAsia="方正楷体简体" w:cs="方正楷体简体"/>
          <w:sz w:val="28"/>
          <w:szCs w:val="28"/>
        </w:rPr>
        <w:t>（八）高原特色种植业</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_Toc243241557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142</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56513F9D">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"_Toc243241558" </w:instrText>
      </w:r>
      <w:r>
        <w:rPr>
          <w:rFonts w:ascii="Times New Roman" w:hAnsi="Times New Roman"/>
          <w:sz w:val="28"/>
          <w:szCs w:val="28"/>
        </w:rPr>
        <w:fldChar w:fldCharType="separate"/>
      </w:r>
      <w:r>
        <w:rPr>
          <w:rStyle w:val="25"/>
          <w:rFonts w:hint="eastAsia" w:ascii="Times New Roman" w:hAnsi="Times New Roman" w:eastAsia="方正楷体简体" w:cs="方正楷体简体"/>
          <w:sz w:val="28"/>
          <w:szCs w:val="28"/>
        </w:rPr>
        <w:t>（九）天然饮用水产业</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_Toc243241558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143</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06024D65">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"_Toc243241559" </w:instrText>
      </w:r>
      <w:r>
        <w:rPr>
          <w:rFonts w:ascii="Times New Roman" w:hAnsi="Times New Roman"/>
          <w:sz w:val="28"/>
          <w:szCs w:val="28"/>
        </w:rPr>
        <w:fldChar w:fldCharType="separate"/>
      </w:r>
      <w:r>
        <w:rPr>
          <w:rStyle w:val="25"/>
          <w:rFonts w:hint="eastAsia" w:ascii="Times New Roman" w:hAnsi="Times New Roman" w:eastAsia="方正楷体简体" w:cs="方正楷体简体"/>
          <w:sz w:val="28"/>
          <w:szCs w:val="28"/>
        </w:rPr>
        <w:t>（十）卤虫卵产业</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_Toc243241559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144</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215FC9A0">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"_Toc243241560" </w:instrText>
      </w:r>
      <w:r>
        <w:rPr>
          <w:rFonts w:ascii="Times New Roman" w:hAnsi="Times New Roman"/>
          <w:sz w:val="28"/>
          <w:szCs w:val="28"/>
        </w:rPr>
        <w:fldChar w:fldCharType="separate"/>
      </w:r>
      <w:r>
        <w:rPr>
          <w:rStyle w:val="25"/>
          <w:rFonts w:hint="eastAsia" w:ascii="Times New Roman" w:hAnsi="Times New Roman" w:eastAsia="方正楷体简体" w:cs="方正楷体简体"/>
          <w:sz w:val="28"/>
          <w:szCs w:val="28"/>
        </w:rPr>
        <w:t>（十一）低空经济</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_Toc243241560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145</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72C6BFDC">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"_Toc243241561" </w:instrText>
      </w:r>
      <w:r>
        <w:rPr>
          <w:rFonts w:ascii="Times New Roman" w:hAnsi="Times New Roman"/>
          <w:sz w:val="28"/>
          <w:szCs w:val="28"/>
        </w:rPr>
        <w:fldChar w:fldCharType="separate"/>
      </w:r>
      <w:r>
        <w:rPr>
          <w:rStyle w:val="25"/>
          <w:rFonts w:hint="eastAsia" w:ascii="Times New Roman" w:hAnsi="Times New Roman" w:eastAsia="方正楷体简体" w:cs="方正楷体简体"/>
          <w:sz w:val="28"/>
          <w:szCs w:val="28"/>
        </w:rPr>
        <w:t>（十二）算力经济</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_Toc243241561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147</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4DBB58BA">
      <w:pPr>
        <w:pStyle w:val="14"/>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"_Toc243241562" </w:instrText>
      </w:r>
      <w:r>
        <w:rPr>
          <w:rFonts w:ascii="Times New Roman" w:hAnsi="Times New Roman"/>
          <w:sz w:val="28"/>
          <w:szCs w:val="28"/>
        </w:rPr>
        <w:fldChar w:fldCharType="separate"/>
      </w:r>
      <w:r>
        <w:rPr>
          <w:rStyle w:val="25"/>
          <w:rFonts w:hint="eastAsia" w:ascii="Times New Roman" w:hAnsi="Times New Roman" w:eastAsia="方正黑体简体" w:cs="方正黑体简体"/>
          <w:sz w:val="28"/>
          <w:szCs w:val="28"/>
          <w:lang w:val="en-US" w:eastAsia="zh-CN"/>
        </w:rPr>
        <w:t>二、特色产业市场需求变化趋势</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_Toc243241562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149</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2747B083">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"_Toc243241563" </w:instrText>
      </w:r>
      <w:r>
        <w:rPr>
          <w:rFonts w:ascii="Times New Roman" w:hAnsi="Times New Roman"/>
          <w:sz w:val="28"/>
          <w:szCs w:val="28"/>
        </w:rPr>
        <w:fldChar w:fldCharType="separate"/>
      </w:r>
      <w:r>
        <w:rPr>
          <w:rStyle w:val="25"/>
          <w:rFonts w:hint="eastAsia" w:ascii="Times New Roman" w:hAnsi="Times New Roman" w:eastAsia="方正楷体简体" w:cs="方正楷体简体"/>
          <w:sz w:val="28"/>
          <w:szCs w:val="28"/>
        </w:rPr>
        <w:t>（一）</w:t>
      </w:r>
      <w:r>
        <w:rPr>
          <w:rStyle w:val="25"/>
          <w:rFonts w:hint="eastAsia" w:ascii="Times New Roman" w:hAnsi="Times New Roman" w:eastAsia="方正楷体简体" w:cs="方正楷体简体"/>
          <w:sz w:val="28"/>
          <w:szCs w:val="28"/>
          <w:lang w:eastAsia="zh-CN"/>
        </w:rPr>
        <w:t>高原特色畜牧业</w:t>
      </w:r>
      <w:r>
        <w:rPr>
          <w:rStyle w:val="25"/>
          <w:rFonts w:hint="eastAsia" w:ascii="Times New Roman" w:hAnsi="Times New Roman" w:eastAsia="方正楷体简体" w:cs="方正楷体简体"/>
          <w:sz w:val="28"/>
          <w:szCs w:val="28"/>
        </w:rPr>
        <w:t>市场需求变化趋势</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_Toc243241563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149</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044B5C5F">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"_Toc243241564" </w:instrText>
      </w:r>
      <w:r>
        <w:rPr>
          <w:rFonts w:ascii="Times New Roman" w:hAnsi="Times New Roman"/>
          <w:sz w:val="28"/>
          <w:szCs w:val="28"/>
        </w:rPr>
        <w:fldChar w:fldCharType="separate"/>
      </w:r>
      <w:r>
        <w:rPr>
          <w:rStyle w:val="25"/>
          <w:rFonts w:hint="eastAsia" w:ascii="Times New Roman" w:hAnsi="Times New Roman" w:eastAsia="方正楷体简体" w:cs="方正楷体简体"/>
          <w:sz w:val="28"/>
          <w:szCs w:val="28"/>
        </w:rPr>
        <w:t>（二）藏医药产业市场需求变化趋势</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_Toc243241564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150</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5A2366A0">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"_Toc243241565" </w:instrText>
      </w:r>
      <w:r>
        <w:rPr>
          <w:rFonts w:ascii="Times New Roman" w:hAnsi="Times New Roman"/>
          <w:sz w:val="28"/>
          <w:szCs w:val="28"/>
        </w:rPr>
        <w:fldChar w:fldCharType="separate"/>
      </w:r>
      <w:r>
        <w:rPr>
          <w:rStyle w:val="25"/>
          <w:rFonts w:hint="eastAsia" w:ascii="Times New Roman" w:hAnsi="Times New Roman" w:eastAsia="方正楷体简体" w:cs="方正仿宋简体"/>
          <w:sz w:val="28"/>
          <w:szCs w:val="28"/>
        </w:rPr>
        <w:t>（三）清洁能源产业市场需求变化趋势</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_Toc243241565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150</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1B24F838">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"_Toc243241566" </w:instrText>
      </w:r>
      <w:r>
        <w:rPr>
          <w:rFonts w:ascii="Times New Roman" w:hAnsi="Times New Roman"/>
          <w:sz w:val="28"/>
          <w:szCs w:val="28"/>
        </w:rPr>
        <w:fldChar w:fldCharType="separate"/>
      </w:r>
      <w:r>
        <w:rPr>
          <w:rStyle w:val="25"/>
          <w:rFonts w:hint="eastAsia" w:ascii="Times New Roman" w:hAnsi="Times New Roman" w:eastAsia="方正楷体简体" w:cs="方正楷体简体"/>
          <w:sz w:val="28"/>
          <w:szCs w:val="28"/>
        </w:rPr>
        <w:t>（四）生态文旅产业市场需求变化趋势</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_Toc243241566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151</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74534BFD">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"_Toc243241567" </w:instrText>
      </w:r>
      <w:r>
        <w:rPr>
          <w:rFonts w:ascii="Times New Roman" w:hAnsi="Times New Roman"/>
          <w:sz w:val="28"/>
          <w:szCs w:val="28"/>
        </w:rPr>
        <w:fldChar w:fldCharType="separate"/>
      </w:r>
      <w:r>
        <w:rPr>
          <w:rStyle w:val="25"/>
          <w:rFonts w:hint="eastAsia" w:ascii="Times New Roman" w:hAnsi="Times New Roman" w:eastAsia="方正楷体简体" w:cs="方正楷体简体"/>
          <w:sz w:val="28"/>
          <w:szCs w:val="28"/>
        </w:rPr>
        <w:t>（五）绿色矿产业市场需求变化趋势</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_Toc243241567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152</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3A972C56">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"_Toc243241568" </w:instrText>
      </w:r>
      <w:r>
        <w:rPr>
          <w:rFonts w:ascii="Times New Roman" w:hAnsi="Times New Roman"/>
          <w:sz w:val="28"/>
          <w:szCs w:val="28"/>
        </w:rPr>
        <w:fldChar w:fldCharType="separate"/>
      </w:r>
      <w:r>
        <w:rPr>
          <w:rStyle w:val="25"/>
          <w:rFonts w:hint="eastAsia" w:ascii="Times New Roman" w:hAnsi="Times New Roman" w:eastAsia="方正楷体简体" w:cs="方正楷体简体"/>
          <w:sz w:val="28"/>
          <w:szCs w:val="28"/>
        </w:rPr>
        <w:t>（六）交通物流产业市场需求变化趋势</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_Toc243241568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153</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548CA9CB">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"_Toc243241569" </w:instrText>
      </w:r>
      <w:r>
        <w:rPr>
          <w:rFonts w:ascii="Times New Roman" w:hAnsi="Times New Roman"/>
          <w:sz w:val="28"/>
          <w:szCs w:val="28"/>
        </w:rPr>
        <w:fldChar w:fldCharType="separate"/>
      </w:r>
      <w:r>
        <w:rPr>
          <w:rStyle w:val="25"/>
          <w:rFonts w:hint="eastAsia" w:ascii="Times New Roman" w:hAnsi="Times New Roman" w:eastAsia="方正楷体简体" w:cs="方正楷体简体"/>
          <w:sz w:val="28"/>
          <w:szCs w:val="28"/>
        </w:rPr>
        <w:t>（七）民族手工业市场需求变化趋势</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_Toc243241569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154</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335AC6AF">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"_Toc243241570" </w:instrText>
      </w:r>
      <w:r>
        <w:rPr>
          <w:rFonts w:ascii="Times New Roman" w:hAnsi="Times New Roman"/>
          <w:sz w:val="28"/>
          <w:szCs w:val="28"/>
        </w:rPr>
        <w:fldChar w:fldCharType="separate"/>
      </w:r>
      <w:r>
        <w:rPr>
          <w:rStyle w:val="25"/>
          <w:rFonts w:hint="eastAsia" w:ascii="Times New Roman" w:hAnsi="Times New Roman" w:eastAsia="方正楷体简体" w:cs="方正楷体简体"/>
          <w:sz w:val="28"/>
          <w:szCs w:val="28"/>
        </w:rPr>
        <w:t>（八）高原特色种植业市场需求变化趋势</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_Toc243241570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155</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3C84FDAB">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"_Toc243241571" </w:instrText>
      </w:r>
      <w:r>
        <w:rPr>
          <w:rFonts w:ascii="Times New Roman" w:hAnsi="Times New Roman"/>
          <w:sz w:val="28"/>
          <w:szCs w:val="28"/>
        </w:rPr>
        <w:fldChar w:fldCharType="separate"/>
      </w:r>
      <w:r>
        <w:rPr>
          <w:rStyle w:val="25"/>
          <w:rFonts w:hint="eastAsia" w:ascii="Times New Roman" w:hAnsi="Times New Roman" w:eastAsia="方正楷体简体" w:cs="方正楷体简体"/>
          <w:sz w:val="28"/>
          <w:szCs w:val="28"/>
        </w:rPr>
        <w:t>（九）天然饮用水产业市场需求变化趋势</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_Toc243241571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156</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550457A5">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"_Toc243241572" </w:instrText>
      </w:r>
      <w:r>
        <w:rPr>
          <w:rFonts w:ascii="Times New Roman" w:hAnsi="Times New Roman"/>
          <w:sz w:val="28"/>
          <w:szCs w:val="28"/>
        </w:rPr>
        <w:fldChar w:fldCharType="separate"/>
      </w:r>
      <w:r>
        <w:rPr>
          <w:rStyle w:val="25"/>
          <w:rFonts w:hint="eastAsia" w:ascii="Times New Roman" w:hAnsi="Times New Roman" w:eastAsia="方正楷体简体" w:cs="方正楷体简体"/>
          <w:sz w:val="28"/>
          <w:szCs w:val="28"/>
        </w:rPr>
        <w:t>（十）卤虫卵产业市场需求变化趋势</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_Toc243241572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157</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22A33C92">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"_Toc243241573" </w:instrText>
      </w:r>
      <w:r>
        <w:rPr>
          <w:rFonts w:ascii="Times New Roman" w:hAnsi="Times New Roman"/>
          <w:sz w:val="28"/>
          <w:szCs w:val="28"/>
        </w:rPr>
        <w:fldChar w:fldCharType="separate"/>
      </w:r>
      <w:r>
        <w:rPr>
          <w:rStyle w:val="25"/>
          <w:rFonts w:hint="eastAsia" w:ascii="Times New Roman" w:hAnsi="Times New Roman" w:eastAsia="方正楷体简体" w:cs="方正楷体简体"/>
          <w:sz w:val="28"/>
          <w:szCs w:val="28"/>
        </w:rPr>
        <w:t>（十一）低空经济市场需求变化趋势</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_Toc243241573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158</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6B576888">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"_Toc243241574" </w:instrText>
      </w:r>
      <w:r>
        <w:rPr>
          <w:rFonts w:ascii="Times New Roman" w:hAnsi="Times New Roman"/>
          <w:sz w:val="28"/>
          <w:szCs w:val="28"/>
        </w:rPr>
        <w:fldChar w:fldCharType="separate"/>
      </w:r>
      <w:r>
        <w:rPr>
          <w:rStyle w:val="25"/>
          <w:rFonts w:hint="eastAsia" w:ascii="Times New Roman" w:hAnsi="Times New Roman" w:eastAsia="方正楷体简体" w:cs="方正楷体简体"/>
          <w:sz w:val="28"/>
          <w:szCs w:val="28"/>
        </w:rPr>
        <w:t>（十二）算力经济市场需求变化趋势</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_Toc243241574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159</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13520BCA">
      <w:pPr>
        <w:pStyle w:val="14"/>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"_Toc243241575" </w:instrText>
      </w:r>
      <w:r>
        <w:rPr>
          <w:rFonts w:ascii="Times New Roman" w:hAnsi="Times New Roman"/>
          <w:sz w:val="28"/>
          <w:szCs w:val="28"/>
        </w:rPr>
        <w:fldChar w:fldCharType="separate"/>
      </w:r>
      <w:r>
        <w:rPr>
          <w:rStyle w:val="25"/>
          <w:rFonts w:hint="eastAsia" w:ascii="Times New Roman" w:hAnsi="Times New Roman" w:eastAsia="方正黑体简体" w:cs="方正黑体简体"/>
          <w:sz w:val="28"/>
          <w:szCs w:val="28"/>
          <w:lang w:val="en-US" w:eastAsia="zh-CN"/>
        </w:rPr>
        <w:t>三、特色产业发展前景的关键驱动因素与未来发展方向</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_Toc243241575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161</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4D9B0AE4">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"_Toc243241576" </w:instrText>
      </w:r>
      <w:r>
        <w:rPr>
          <w:rFonts w:ascii="Times New Roman" w:hAnsi="Times New Roman"/>
          <w:sz w:val="28"/>
          <w:szCs w:val="28"/>
        </w:rPr>
        <w:fldChar w:fldCharType="separate"/>
      </w:r>
      <w:r>
        <w:rPr>
          <w:rStyle w:val="25"/>
          <w:rFonts w:hint="eastAsia" w:ascii="Times New Roman" w:hAnsi="Times New Roman" w:eastAsia="方正楷体简体" w:cs="方正楷体简体"/>
          <w:sz w:val="28"/>
          <w:szCs w:val="28"/>
        </w:rPr>
        <w:t>（一）特色产业发展前景的关键驱动因素</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_Toc243241576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161</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4FFDA3BF">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"_Toc243241577" </w:instrText>
      </w:r>
      <w:r>
        <w:rPr>
          <w:rFonts w:ascii="Times New Roman" w:hAnsi="Times New Roman"/>
          <w:sz w:val="28"/>
          <w:szCs w:val="28"/>
        </w:rPr>
        <w:fldChar w:fldCharType="separate"/>
      </w:r>
      <w:r>
        <w:rPr>
          <w:rStyle w:val="25"/>
          <w:rFonts w:hint="eastAsia" w:ascii="Times New Roman" w:hAnsi="Times New Roman" w:eastAsia="方正楷体简体" w:cs="方正楷体简体"/>
          <w:sz w:val="28"/>
          <w:szCs w:val="28"/>
        </w:rPr>
        <w:t>（二）特色产业未来发展方向</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_Toc243241577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168</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507FA4D6">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"_Toc243241578"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val="en-US" w:eastAsia="zh-CN"/>
        </w:rPr>
        <w:t>1．高原特色畜牧业</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_Toc243241578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168</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4BE38666">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"_Toc243241579"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eastAsia="zh-CN"/>
        </w:rPr>
        <w:t>2</w:t>
      </w:r>
      <w:r>
        <w:rPr>
          <w:rStyle w:val="25"/>
          <w:rFonts w:hint="eastAsia" w:ascii="Times New Roman" w:hAnsi="Times New Roman" w:eastAsia="方正仿宋简体" w:cs="方正仿宋简体"/>
          <w:bCs/>
          <w:sz w:val="28"/>
          <w:szCs w:val="28"/>
          <w:lang w:val="en-US" w:eastAsia="zh-CN"/>
        </w:rPr>
        <w:t>．</w:t>
      </w:r>
      <w:r>
        <w:rPr>
          <w:rStyle w:val="25"/>
          <w:rFonts w:hint="eastAsia" w:ascii="Times New Roman" w:hAnsi="Times New Roman" w:eastAsia="方正仿宋简体" w:cs="方正仿宋简体"/>
          <w:bCs/>
          <w:sz w:val="28"/>
          <w:szCs w:val="28"/>
          <w:lang w:eastAsia="zh-CN"/>
        </w:rPr>
        <w:t>藏医药产业</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_Toc243241579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169</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72A7DD08">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"_Toc243241580"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eastAsia="zh-CN"/>
        </w:rPr>
        <w:t>3</w:t>
      </w:r>
      <w:r>
        <w:rPr>
          <w:rStyle w:val="25"/>
          <w:rFonts w:hint="eastAsia" w:ascii="Times New Roman" w:hAnsi="Times New Roman" w:eastAsia="方正仿宋简体" w:cs="方正仿宋简体"/>
          <w:bCs/>
          <w:sz w:val="28"/>
          <w:szCs w:val="28"/>
          <w:lang w:val="en-US" w:eastAsia="zh-CN"/>
        </w:rPr>
        <w:t>．</w:t>
      </w:r>
      <w:r>
        <w:rPr>
          <w:rStyle w:val="25"/>
          <w:rFonts w:hint="eastAsia" w:ascii="Times New Roman" w:hAnsi="Times New Roman" w:eastAsia="方正仿宋简体" w:cs="方正仿宋简体"/>
          <w:bCs/>
          <w:sz w:val="28"/>
          <w:szCs w:val="28"/>
          <w:lang w:eastAsia="zh-CN"/>
        </w:rPr>
        <w:t>清洁能源产业</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_Toc243241580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170</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2CD75DEA">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"_Toc243241581"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eastAsia="zh-CN"/>
        </w:rPr>
        <w:t>4</w:t>
      </w:r>
      <w:r>
        <w:rPr>
          <w:rStyle w:val="25"/>
          <w:rFonts w:hint="eastAsia" w:ascii="Times New Roman" w:hAnsi="Times New Roman" w:eastAsia="方正仿宋简体" w:cs="方正仿宋简体"/>
          <w:bCs/>
          <w:sz w:val="28"/>
          <w:szCs w:val="28"/>
          <w:lang w:val="en-US" w:eastAsia="zh-CN"/>
        </w:rPr>
        <w:t>．</w:t>
      </w:r>
      <w:r>
        <w:rPr>
          <w:rStyle w:val="25"/>
          <w:rFonts w:hint="eastAsia" w:ascii="Times New Roman" w:hAnsi="Times New Roman" w:eastAsia="方正仿宋简体" w:cs="方正仿宋简体"/>
          <w:bCs/>
          <w:sz w:val="28"/>
          <w:szCs w:val="28"/>
          <w:lang w:eastAsia="zh-CN"/>
        </w:rPr>
        <w:t>特色文旅产业</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_Toc243241581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171</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5D3AA3F6">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"_Toc243241582"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val="en-US" w:eastAsia="zh-CN"/>
        </w:rPr>
        <w:t>5．</w:t>
      </w:r>
      <w:r>
        <w:rPr>
          <w:rStyle w:val="25"/>
          <w:rFonts w:hint="eastAsia" w:ascii="Times New Roman" w:hAnsi="Times New Roman" w:eastAsia="方正仿宋简体" w:cs="方正仿宋简体"/>
          <w:bCs/>
          <w:sz w:val="28"/>
          <w:szCs w:val="28"/>
          <w:lang w:eastAsia="zh-CN"/>
        </w:rPr>
        <w:t>绿色</w:t>
      </w:r>
      <w:r>
        <w:rPr>
          <w:rStyle w:val="25"/>
          <w:rFonts w:hint="eastAsia" w:ascii="Times New Roman" w:hAnsi="Times New Roman" w:eastAsia="方正仿宋简体" w:cs="方正仿宋简体"/>
          <w:bCs/>
          <w:sz w:val="28"/>
          <w:szCs w:val="28"/>
          <w:lang w:val="en-US" w:eastAsia="zh-CN"/>
        </w:rPr>
        <w:t>矿产</w:t>
      </w:r>
      <w:r>
        <w:rPr>
          <w:rStyle w:val="25"/>
          <w:rFonts w:hint="eastAsia" w:ascii="Times New Roman" w:hAnsi="Times New Roman" w:eastAsia="方正仿宋简体" w:cs="方正仿宋简体"/>
          <w:bCs/>
          <w:sz w:val="28"/>
          <w:szCs w:val="28"/>
          <w:lang w:eastAsia="zh-CN"/>
        </w:rPr>
        <w:t>业</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_Toc243241582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172</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2DB0F8EC">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"_Toc243241583"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val="en-US" w:eastAsia="zh-CN"/>
        </w:rPr>
        <w:t>6．</w:t>
      </w:r>
      <w:r>
        <w:rPr>
          <w:rStyle w:val="25"/>
          <w:rFonts w:hint="eastAsia" w:ascii="Times New Roman" w:hAnsi="Times New Roman" w:eastAsia="方正仿宋简体" w:cs="方正仿宋简体"/>
          <w:bCs/>
          <w:sz w:val="28"/>
          <w:szCs w:val="28"/>
          <w:lang w:eastAsia="zh-CN"/>
        </w:rPr>
        <w:t>交通物流产业</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_Toc243241583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173</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794A466E">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"_Toc243241584"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eastAsia="zh-CN"/>
        </w:rPr>
        <w:t>7</w:t>
      </w:r>
      <w:r>
        <w:rPr>
          <w:rStyle w:val="25"/>
          <w:rFonts w:hint="eastAsia" w:ascii="Times New Roman" w:hAnsi="Times New Roman" w:eastAsia="方正仿宋简体" w:cs="方正仿宋简体"/>
          <w:bCs/>
          <w:sz w:val="28"/>
          <w:szCs w:val="28"/>
          <w:lang w:val="en-US" w:eastAsia="zh-CN"/>
        </w:rPr>
        <w:t>．</w:t>
      </w:r>
      <w:r>
        <w:rPr>
          <w:rStyle w:val="25"/>
          <w:rFonts w:hint="eastAsia" w:ascii="Times New Roman" w:hAnsi="Times New Roman" w:eastAsia="方正仿宋简体" w:cs="方正仿宋简体"/>
          <w:bCs/>
          <w:sz w:val="28"/>
          <w:szCs w:val="28"/>
          <w:lang w:eastAsia="zh-CN"/>
        </w:rPr>
        <w:t>民族</w:t>
      </w:r>
      <w:r>
        <w:rPr>
          <w:rStyle w:val="25"/>
          <w:rFonts w:hint="eastAsia" w:ascii="Times New Roman" w:hAnsi="Times New Roman" w:eastAsia="方正仿宋简体" w:cs="方正仿宋简体"/>
          <w:bCs/>
          <w:sz w:val="28"/>
          <w:szCs w:val="28"/>
          <w:lang w:val="en-US" w:eastAsia="zh-CN"/>
        </w:rPr>
        <w:t>手工业</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_Toc243241584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174</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317CDBDA">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"_Toc243241585"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eastAsia="zh-CN"/>
        </w:rPr>
        <w:t>8</w:t>
      </w:r>
      <w:r>
        <w:rPr>
          <w:rStyle w:val="25"/>
          <w:rFonts w:hint="eastAsia" w:ascii="Times New Roman" w:hAnsi="Times New Roman" w:eastAsia="方正仿宋简体" w:cs="方正仿宋简体"/>
          <w:bCs/>
          <w:sz w:val="28"/>
          <w:szCs w:val="28"/>
          <w:lang w:val="en-US" w:eastAsia="zh-CN"/>
        </w:rPr>
        <w:t>．</w:t>
      </w:r>
      <w:r>
        <w:rPr>
          <w:rStyle w:val="25"/>
          <w:rFonts w:hint="eastAsia" w:ascii="Times New Roman" w:hAnsi="Times New Roman" w:eastAsia="方正仿宋简体" w:cs="方正仿宋简体"/>
          <w:bCs/>
          <w:sz w:val="28"/>
          <w:szCs w:val="28"/>
          <w:lang w:eastAsia="zh-CN"/>
        </w:rPr>
        <w:t>高原</w:t>
      </w:r>
      <w:r>
        <w:rPr>
          <w:rStyle w:val="25"/>
          <w:rFonts w:hint="eastAsia" w:ascii="Times New Roman" w:hAnsi="Times New Roman" w:eastAsia="方正仿宋简体" w:cs="方正仿宋简体"/>
          <w:bCs/>
          <w:sz w:val="28"/>
          <w:szCs w:val="28"/>
          <w:lang w:val="en-US" w:eastAsia="zh-CN"/>
        </w:rPr>
        <w:t>特色</w:t>
      </w:r>
      <w:r>
        <w:rPr>
          <w:rStyle w:val="25"/>
          <w:rFonts w:hint="eastAsia" w:ascii="Times New Roman" w:hAnsi="Times New Roman" w:eastAsia="方正仿宋简体" w:cs="方正仿宋简体"/>
          <w:bCs/>
          <w:sz w:val="28"/>
          <w:szCs w:val="28"/>
          <w:lang w:eastAsia="zh-CN"/>
        </w:rPr>
        <w:t>种植业</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_Toc243241585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175</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1E0B17A2">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"_Toc243241586"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eastAsia="zh-CN"/>
        </w:rPr>
        <w:t>9</w:t>
      </w:r>
      <w:r>
        <w:rPr>
          <w:rStyle w:val="25"/>
          <w:rFonts w:hint="eastAsia" w:ascii="Times New Roman" w:hAnsi="Times New Roman" w:eastAsia="方正仿宋简体" w:cs="方正仿宋简体"/>
          <w:bCs/>
          <w:sz w:val="28"/>
          <w:szCs w:val="28"/>
          <w:lang w:val="en-US" w:eastAsia="zh-CN"/>
        </w:rPr>
        <w:t>．</w:t>
      </w:r>
      <w:r>
        <w:rPr>
          <w:rStyle w:val="25"/>
          <w:rFonts w:hint="eastAsia" w:ascii="Times New Roman" w:hAnsi="Times New Roman" w:eastAsia="方正仿宋简体" w:cs="方正仿宋简体"/>
          <w:bCs/>
          <w:sz w:val="28"/>
          <w:szCs w:val="28"/>
          <w:lang w:eastAsia="zh-CN"/>
        </w:rPr>
        <w:t>天然饮用水产业</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_Toc243241586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177</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2A9668BC">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"_Toc243241587"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eastAsia="zh-CN"/>
        </w:rPr>
        <w:t>10</w:t>
      </w:r>
      <w:r>
        <w:rPr>
          <w:rStyle w:val="25"/>
          <w:rFonts w:hint="eastAsia" w:ascii="Times New Roman" w:hAnsi="Times New Roman" w:eastAsia="方正仿宋简体" w:cs="方正仿宋简体"/>
          <w:bCs/>
          <w:sz w:val="28"/>
          <w:szCs w:val="28"/>
          <w:lang w:val="en-US" w:eastAsia="zh-CN"/>
        </w:rPr>
        <w:t>．卤</w:t>
      </w:r>
      <w:r>
        <w:rPr>
          <w:rStyle w:val="25"/>
          <w:rFonts w:hint="eastAsia" w:ascii="Times New Roman" w:hAnsi="Times New Roman" w:eastAsia="方正仿宋简体" w:cs="方正仿宋简体"/>
          <w:bCs/>
          <w:sz w:val="28"/>
          <w:szCs w:val="28"/>
          <w:lang w:eastAsia="zh-CN"/>
        </w:rPr>
        <w:t>虫卵产业</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_Toc243241587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178</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673CC7B1">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"_Toc243241588"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eastAsia="zh-CN"/>
        </w:rPr>
        <w:t>11</w:t>
      </w:r>
      <w:r>
        <w:rPr>
          <w:rStyle w:val="25"/>
          <w:rFonts w:hint="eastAsia" w:ascii="Times New Roman" w:hAnsi="Times New Roman" w:eastAsia="方正仿宋简体" w:cs="方正仿宋简体"/>
          <w:bCs/>
          <w:sz w:val="28"/>
          <w:szCs w:val="28"/>
          <w:lang w:val="en-US" w:eastAsia="zh-CN"/>
        </w:rPr>
        <w:t>．</w:t>
      </w:r>
      <w:r>
        <w:rPr>
          <w:rStyle w:val="25"/>
          <w:rFonts w:hint="eastAsia" w:ascii="Times New Roman" w:hAnsi="Times New Roman" w:eastAsia="方正仿宋简体" w:cs="方正仿宋简体"/>
          <w:bCs/>
          <w:sz w:val="28"/>
          <w:szCs w:val="28"/>
          <w:lang w:eastAsia="zh-CN"/>
        </w:rPr>
        <w:t>低空经济</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_Toc243241588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179</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21C5B183">
      <w:pPr>
        <w:pStyle w:val="10"/>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"_Toc243241589" </w:instrText>
      </w:r>
      <w:r>
        <w:rPr>
          <w:rFonts w:ascii="Times New Roman" w:hAnsi="Times New Roman"/>
          <w:sz w:val="28"/>
          <w:szCs w:val="28"/>
        </w:rPr>
        <w:fldChar w:fldCharType="separate"/>
      </w:r>
      <w:r>
        <w:rPr>
          <w:rStyle w:val="25"/>
          <w:rFonts w:hint="eastAsia" w:ascii="Times New Roman" w:hAnsi="Times New Roman" w:eastAsia="方正仿宋简体" w:cs="方正仿宋简体"/>
          <w:bCs/>
          <w:sz w:val="28"/>
          <w:szCs w:val="28"/>
          <w:lang w:eastAsia="zh-CN"/>
        </w:rPr>
        <w:t>12</w:t>
      </w:r>
      <w:r>
        <w:rPr>
          <w:rStyle w:val="25"/>
          <w:rFonts w:hint="eastAsia" w:ascii="Times New Roman" w:hAnsi="Times New Roman" w:eastAsia="方正仿宋简体" w:cs="方正仿宋简体"/>
          <w:bCs/>
          <w:sz w:val="28"/>
          <w:szCs w:val="28"/>
          <w:lang w:val="en-US" w:eastAsia="zh-CN"/>
        </w:rPr>
        <w:t>．算力</w:t>
      </w:r>
      <w:r>
        <w:rPr>
          <w:rStyle w:val="25"/>
          <w:rFonts w:hint="eastAsia" w:ascii="Times New Roman" w:hAnsi="Times New Roman" w:eastAsia="方正仿宋简体" w:cs="方正仿宋简体"/>
          <w:bCs/>
          <w:sz w:val="28"/>
          <w:szCs w:val="28"/>
          <w:lang w:eastAsia="zh-CN"/>
        </w:rPr>
        <w:t>经济</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_Toc243241589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181</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3837AAC2">
      <w:pPr>
        <w:pStyle w:val="14"/>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"_Toc243241590" </w:instrText>
      </w:r>
      <w:r>
        <w:rPr>
          <w:rFonts w:ascii="Times New Roman" w:hAnsi="Times New Roman"/>
          <w:sz w:val="28"/>
          <w:szCs w:val="28"/>
        </w:rPr>
        <w:fldChar w:fldCharType="separate"/>
      </w:r>
      <w:r>
        <w:rPr>
          <w:rStyle w:val="25"/>
          <w:rFonts w:hint="eastAsia" w:ascii="Times New Roman" w:hAnsi="Times New Roman" w:eastAsia="方正黑体简体" w:cs="方正黑体简体"/>
          <w:sz w:val="28"/>
          <w:szCs w:val="28"/>
          <w:lang w:val="en-US" w:eastAsia="zh-CN"/>
        </w:rPr>
        <w:t>四、特色产业发展展望</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_Toc243241590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182</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4A9EA8D8">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"_Toc243241591" </w:instrText>
      </w:r>
      <w:r>
        <w:rPr>
          <w:rFonts w:ascii="Times New Roman" w:hAnsi="Times New Roman"/>
          <w:sz w:val="28"/>
          <w:szCs w:val="28"/>
        </w:rPr>
        <w:fldChar w:fldCharType="separate"/>
      </w:r>
      <w:r>
        <w:rPr>
          <w:rStyle w:val="25"/>
          <w:rFonts w:hint="eastAsia" w:ascii="Times New Roman" w:hAnsi="Times New Roman" w:eastAsia="方正楷体简体" w:cs="方正楷体简体"/>
          <w:bCs/>
          <w:sz w:val="28"/>
          <w:szCs w:val="28"/>
          <w:lang w:val="en-US" w:eastAsia="zh-CN"/>
        </w:rPr>
        <w:t>（一）产业发展迈向高质量融合进阶新阶段</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_Toc243241591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182</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43C0548A">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"_Toc243241592" </w:instrText>
      </w:r>
      <w:r>
        <w:rPr>
          <w:rFonts w:ascii="Times New Roman" w:hAnsi="Times New Roman"/>
          <w:sz w:val="28"/>
          <w:szCs w:val="28"/>
        </w:rPr>
        <w:fldChar w:fldCharType="separate"/>
      </w:r>
      <w:r>
        <w:rPr>
          <w:rStyle w:val="25"/>
          <w:rFonts w:hint="eastAsia" w:ascii="Times New Roman" w:hAnsi="Times New Roman" w:eastAsia="方正楷体简体" w:cs="方正楷体简体"/>
          <w:bCs/>
          <w:sz w:val="28"/>
          <w:szCs w:val="28"/>
          <w:lang w:val="en-US" w:eastAsia="zh-CN"/>
        </w:rPr>
        <w:t>（二）生态民生耦合实现协同共赢发展新突破</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_Toc243241592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183</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44780574">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"_Toc243241593" </w:instrText>
      </w:r>
      <w:r>
        <w:rPr>
          <w:rFonts w:ascii="Times New Roman" w:hAnsi="Times New Roman"/>
          <w:sz w:val="28"/>
          <w:szCs w:val="28"/>
        </w:rPr>
        <w:fldChar w:fldCharType="separate"/>
      </w:r>
      <w:r>
        <w:rPr>
          <w:rStyle w:val="25"/>
          <w:rFonts w:hint="eastAsia" w:ascii="Times New Roman" w:hAnsi="Times New Roman" w:eastAsia="方正楷体简体" w:cs="方正楷体简体"/>
          <w:bCs/>
          <w:sz w:val="28"/>
          <w:szCs w:val="28"/>
          <w:lang w:val="en-US" w:eastAsia="zh-CN"/>
        </w:rPr>
        <w:t>（三）开放协同构建联动发展全新格局</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_Toc243241593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184</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4B760C61">
      <w:pPr>
        <w:pStyle w:val="14"/>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"_Toc243241594" </w:instrText>
      </w:r>
      <w:r>
        <w:rPr>
          <w:rFonts w:ascii="Times New Roman" w:hAnsi="Times New Roman"/>
          <w:sz w:val="28"/>
          <w:szCs w:val="28"/>
        </w:rPr>
        <w:fldChar w:fldCharType="separate"/>
      </w:r>
      <w:r>
        <w:rPr>
          <w:rStyle w:val="25"/>
          <w:rFonts w:hint="eastAsia" w:ascii="Times New Roman" w:hAnsi="Times New Roman"/>
          <w:b/>
          <w:spacing w:val="-2"/>
          <w:sz w:val="28"/>
          <w:szCs w:val="28"/>
          <w:lang w:val="en-US" w:eastAsia="zh-CN"/>
        </w:rPr>
        <w:t>第七章</w:t>
      </w:r>
      <w:r>
        <w:rPr>
          <w:rStyle w:val="25"/>
          <w:rFonts w:hint="eastAsia" w:ascii="Times New Roman" w:hAnsi="Times New Roman" w:eastAsia="方正小标宋简体" w:cs="方正小标宋简体"/>
          <w:b/>
          <w:spacing w:val="-2"/>
          <w:sz w:val="28"/>
          <w:szCs w:val="28"/>
          <w:lang w:val="en-US" w:eastAsia="zh-CN"/>
        </w:rPr>
        <w:t xml:space="preserve"> </w:t>
      </w:r>
      <w:r>
        <w:rPr>
          <w:rStyle w:val="25"/>
          <w:rFonts w:hint="eastAsia" w:ascii="Times New Roman" w:hAnsi="Times New Roman"/>
          <w:b/>
          <w:spacing w:val="-2"/>
          <w:sz w:val="28"/>
          <w:szCs w:val="28"/>
          <w:lang w:val="en-US" w:eastAsia="zh-CN"/>
        </w:rPr>
        <w:t>那曲市特色产业发展的对策与建议</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_Toc243241594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186</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0AC5CBE5">
      <w:pPr>
        <w:pStyle w:val="14"/>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"_Toc243241595" </w:instrText>
      </w:r>
      <w:r>
        <w:rPr>
          <w:rFonts w:ascii="Times New Roman" w:hAnsi="Times New Roman"/>
          <w:sz w:val="28"/>
          <w:szCs w:val="28"/>
        </w:rPr>
        <w:fldChar w:fldCharType="separate"/>
      </w:r>
      <w:r>
        <w:rPr>
          <w:rStyle w:val="25"/>
          <w:rFonts w:hint="eastAsia" w:ascii="Times New Roman" w:hAnsi="Times New Roman" w:eastAsia="方正黑体简体" w:cs="方正黑体简体"/>
          <w:sz w:val="28"/>
          <w:szCs w:val="28"/>
          <w:lang w:val="en-US" w:eastAsia="zh-CN"/>
        </w:rPr>
        <w:t>一、构建合理的区域产业布局体系</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_Toc243241595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186</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612BBDD2">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"_Toc243241596" </w:instrText>
      </w:r>
      <w:r>
        <w:rPr>
          <w:rFonts w:ascii="Times New Roman" w:hAnsi="Times New Roman"/>
          <w:sz w:val="28"/>
          <w:szCs w:val="28"/>
        </w:rPr>
        <w:fldChar w:fldCharType="separate"/>
      </w:r>
      <w:r>
        <w:rPr>
          <w:rStyle w:val="25"/>
          <w:rFonts w:hint="eastAsia" w:ascii="Times New Roman" w:hAnsi="Times New Roman" w:eastAsia="方正楷体简体" w:cs="方正楷体简体"/>
          <w:bCs/>
          <w:sz w:val="28"/>
          <w:szCs w:val="28"/>
          <w:lang w:val="en-US" w:eastAsia="zh-CN"/>
        </w:rPr>
        <w:t>（一）总体布局总则</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_Toc243241596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186</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661E12E1">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"_Toc243241597" </w:instrText>
      </w:r>
      <w:r>
        <w:rPr>
          <w:rFonts w:ascii="Times New Roman" w:hAnsi="Times New Roman"/>
          <w:sz w:val="28"/>
          <w:szCs w:val="28"/>
        </w:rPr>
        <w:fldChar w:fldCharType="separate"/>
      </w:r>
      <w:r>
        <w:rPr>
          <w:rStyle w:val="25"/>
          <w:rFonts w:hint="eastAsia" w:ascii="Times New Roman" w:hAnsi="Times New Roman" w:eastAsia="方正楷体简体" w:cs="方正楷体简体"/>
          <w:bCs/>
          <w:sz w:val="28"/>
          <w:szCs w:val="28"/>
          <w:lang w:val="en-US" w:eastAsia="zh-CN"/>
        </w:rPr>
        <w:t>（二）三区错位布局，划定产业发展核心片区</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_Toc243241597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187</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2AC729AA">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"_Toc243241598" </w:instrText>
      </w:r>
      <w:r>
        <w:rPr>
          <w:rFonts w:ascii="Times New Roman" w:hAnsi="Times New Roman"/>
          <w:sz w:val="28"/>
          <w:szCs w:val="28"/>
        </w:rPr>
        <w:fldChar w:fldCharType="separate"/>
      </w:r>
      <w:r>
        <w:rPr>
          <w:rStyle w:val="25"/>
          <w:rFonts w:hint="eastAsia" w:ascii="Times New Roman" w:hAnsi="Times New Roman" w:eastAsia="方正楷体简体" w:cs="方正楷体简体"/>
          <w:bCs/>
          <w:sz w:val="28"/>
          <w:szCs w:val="28"/>
          <w:lang w:val="en-US" w:eastAsia="zh-CN"/>
        </w:rPr>
        <w:t>（三）四端联动赋能，构建产业对外开放格局</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_Toc243241598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188</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35963620">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"_Toc243241599" </w:instrText>
      </w:r>
      <w:r>
        <w:rPr>
          <w:rFonts w:ascii="Times New Roman" w:hAnsi="Times New Roman"/>
          <w:sz w:val="28"/>
          <w:szCs w:val="28"/>
        </w:rPr>
        <w:fldChar w:fldCharType="separate"/>
      </w:r>
      <w:r>
        <w:rPr>
          <w:rStyle w:val="25"/>
          <w:rFonts w:hint="eastAsia" w:ascii="Times New Roman" w:hAnsi="Times New Roman" w:eastAsia="方正楷体简体" w:cs="方正楷体简体"/>
          <w:bCs/>
          <w:sz w:val="28"/>
          <w:szCs w:val="28"/>
          <w:lang w:val="en-US" w:eastAsia="zh-CN"/>
        </w:rPr>
        <w:t>（四）五纵六横贯通，构筑产业集聚发展廊道</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_Toc243241599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188</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5EA73B85">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"_Toc243241600" </w:instrText>
      </w:r>
      <w:r>
        <w:rPr>
          <w:rFonts w:ascii="Times New Roman" w:hAnsi="Times New Roman"/>
          <w:sz w:val="28"/>
          <w:szCs w:val="28"/>
        </w:rPr>
        <w:fldChar w:fldCharType="separate"/>
      </w:r>
      <w:r>
        <w:rPr>
          <w:rStyle w:val="25"/>
          <w:rFonts w:hint="eastAsia" w:ascii="Times New Roman" w:hAnsi="Times New Roman" w:eastAsia="方正楷体简体" w:cs="方正楷体简体"/>
          <w:bCs/>
          <w:sz w:val="28"/>
          <w:szCs w:val="28"/>
          <w:lang w:val="en-US" w:eastAsia="zh-CN"/>
        </w:rPr>
        <w:t>（五）多点梯次支撑，夯实产业县域落地载体</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_Toc243241600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189</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50A34B9C">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"_Toc243241601" </w:instrText>
      </w:r>
      <w:r>
        <w:rPr>
          <w:rFonts w:ascii="Times New Roman" w:hAnsi="Times New Roman"/>
          <w:sz w:val="28"/>
          <w:szCs w:val="28"/>
        </w:rPr>
        <w:fldChar w:fldCharType="separate"/>
      </w:r>
      <w:r>
        <w:rPr>
          <w:rStyle w:val="25"/>
          <w:rFonts w:hint="eastAsia" w:ascii="Times New Roman" w:hAnsi="Times New Roman" w:eastAsia="方正楷体简体" w:cs="方正楷体简体"/>
          <w:bCs/>
          <w:sz w:val="28"/>
          <w:szCs w:val="28"/>
          <w:lang w:val="en-US" w:eastAsia="zh-CN"/>
        </w:rPr>
        <w:t>（六）总体布局逻辑</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_Toc243241601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190</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239887E6">
      <w:pPr>
        <w:pStyle w:val="14"/>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"_Toc243241602" </w:instrText>
      </w:r>
      <w:r>
        <w:rPr>
          <w:rFonts w:ascii="Times New Roman" w:hAnsi="Times New Roman"/>
          <w:sz w:val="28"/>
          <w:szCs w:val="28"/>
        </w:rPr>
        <w:fldChar w:fldCharType="separate"/>
      </w:r>
      <w:r>
        <w:rPr>
          <w:rStyle w:val="25"/>
          <w:rFonts w:hint="eastAsia" w:ascii="Times New Roman" w:hAnsi="Times New Roman" w:eastAsia="方正黑体简体" w:cs="方正黑体简体"/>
          <w:sz w:val="28"/>
          <w:szCs w:val="28"/>
          <w:lang w:val="en-US" w:eastAsia="zh-CN"/>
        </w:rPr>
        <w:t>二、政府层面：强化顶层赋能，构建高质量发展制度体系</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_Toc243241602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190</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2DA24F6F">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"_Toc243241603" </w:instrText>
      </w:r>
      <w:r>
        <w:rPr>
          <w:rFonts w:ascii="Times New Roman" w:hAnsi="Times New Roman"/>
          <w:sz w:val="28"/>
          <w:szCs w:val="28"/>
        </w:rPr>
        <w:fldChar w:fldCharType="separate"/>
      </w:r>
      <w:r>
        <w:rPr>
          <w:rStyle w:val="25"/>
          <w:rFonts w:hint="eastAsia" w:ascii="Times New Roman" w:hAnsi="Times New Roman" w:eastAsia="方正楷体简体" w:cs="方正楷体简体"/>
          <w:bCs/>
          <w:sz w:val="28"/>
          <w:szCs w:val="28"/>
          <w:lang w:val="en-US" w:eastAsia="zh-CN"/>
        </w:rPr>
        <w:t>（一）健全“生态—产业”协同治理政策体系</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_Toc243241603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190</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46CE16BD">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"_Toc243241604" </w:instrText>
      </w:r>
      <w:r>
        <w:rPr>
          <w:rFonts w:ascii="Times New Roman" w:hAnsi="Times New Roman"/>
          <w:sz w:val="28"/>
          <w:szCs w:val="28"/>
        </w:rPr>
        <w:fldChar w:fldCharType="separate"/>
      </w:r>
      <w:r>
        <w:rPr>
          <w:rStyle w:val="25"/>
          <w:rFonts w:hint="eastAsia" w:ascii="Times New Roman" w:hAnsi="Times New Roman" w:eastAsia="方正楷体简体" w:cs="方正楷体简体"/>
          <w:bCs/>
          <w:sz w:val="28"/>
          <w:szCs w:val="28"/>
          <w:lang w:val="en-US" w:eastAsia="zh-CN"/>
        </w:rPr>
        <w:t>（二）迭代升级多元精准政策保障工具</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_Toc243241604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191</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6B4B1A16">
      <w:pPr>
        <w:pStyle w:val="14"/>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"_Toc243241605" </w:instrText>
      </w:r>
      <w:r>
        <w:rPr>
          <w:rFonts w:ascii="Times New Roman" w:hAnsi="Times New Roman"/>
          <w:sz w:val="28"/>
          <w:szCs w:val="28"/>
        </w:rPr>
        <w:fldChar w:fldCharType="separate"/>
      </w:r>
      <w:r>
        <w:rPr>
          <w:rStyle w:val="25"/>
          <w:rFonts w:hint="eastAsia" w:ascii="Times New Roman" w:hAnsi="Times New Roman" w:eastAsia="方正黑体简体" w:cs="方正黑体简体"/>
          <w:sz w:val="28"/>
          <w:szCs w:val="28"/>
          <w:lang w:val="en-US" w:eastAsia="zh-CN"/>
        </w:rPr>
        <w:t>三、企业层面：聚焦主体提质，激活产业转型升级内生动能</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_Toc243241605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191</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3B34BE7F">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"_Toc243241606" </w:instrText>
      </w:r>
      <w:r>
        <w:rPr>
          <w:rFonts w:ascii="Times New Roman" w:hAnsi="Times New Roman"/>
          <w:sz w:val="28"/>
          <w:szCs w:val="28"/>
        </w:rPr>
        <w:fldChar w:fldCharType="separate"/>
      </w:r>
      <w:r>
        <w:rPr>
          <w:rStyle w:val="25"/>
          <w:rFonts w:hint="eastAsia" w:ascii="Times New Roman" w:hAnsi="Times New Roman" w:eastAsia="方正楷体简体" w:cs="方正楷体简体"/>
          <w:bCs/>
          <w:sz w:val="28"/>
          <w:szCs w:val="28"/>
          <w:lang w:val="en-US" w:eastAsia="zh-CN"/>
        </w:rPr>
        <w:t>（一）实施传统产业迭代升级工程</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_Toc243241606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191</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717CD564">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"_Toc243241607" </w:instrText>
      </w:r>
      <w:r>
        <w:rPr>
          <w:rFonts w:ascii="Times New Roman" w:hAnsi="Times New Roman"/>
          <w:sz w:val="28"/>
          <w:szCs w:val="28"/>
        </w:rPr>
        <w:fldChar w:fldCharType="separate"/>
      </w:r>
      <w:r>
        <w:rPr>
          <w:rStyle w:val="25"/>
          <w:rFonts w:hint="eastAsia" w:ascii="Times New Roman" w:hAnsi="Times New Roman" w:eastAsia="方正楷体简体" w:cs="方正楷体简体"/>
          <w:bCs/>
          <w:sz w:val="28"/>
          <w:szCs w:val="28"/>
          <w:lang w:val="en-US" w:eastAsia="zh-CN"/>
        </w:rPr>
        <w:t>（二）打造青藏高原清洁能源产业枢纽</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_Toc243241607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192</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5D135390">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"_Toc243241608" </w:instrText>
      </w:r>
      <w:r>
        <w:rPr>
          <w:rFonts w:ascii="Times New Roman" w:hAnsi="Times New Roman"/>
          <w:sz w:val="28"/>
          <w:szCs w:val="28"/>
        </w:rPr>
        <w:fldChar w:fldCharType="separate"/>
      </w:r>
      <w:r>
        <w:rPr>
          <w:rStyle w:val="25"/>
          <w:rFonts w:hint="eastAsia" w:ascii="Times New Roman" w:hAnsi="Times New Roman" w:eastAsia="方正楷体简体" w:cs="方正楷体简体"/>
          <w:bCs/>
          <w:sz w:val="28"/>
          <w:szCs w:val="28"/>
          <w:lang w:val="en-US" w:eastAsia="zh-CN"/>
        </w:rPr>
        <w:t>（三）培育高原特色文旅标杆</w:t>
      </w:r>
      <w:r>
        <w:rPr>
          <w:rStyle w:val="25"/>
          <w:rFonts w:hint="eastAsia" w:ascii="Times New Roman" w:hAnsi="Times New Roman" w:eastAsia="方正仿宋简体" w:cs="方正仿宋简体"/>
          <w:bCs/>
          <w:sz w:val="28"/>
          <w:szCs w:val="28"/>
          <w:lang w:val="en-US" w:eastAsia="zh-CN"/>
        </w:rPr>
        <w:t>IP</w:t>
      </w:r>
      <w:r>
        <w:rPr>
          <w:rStyle w:val="25"/>
          <w:rFonts w:hint="eastAsia" w:ascii="Times New Roman" w:hAnsi="Times New Roman" w:eastAsia="方正楷体简体" w:cs="方正楷体简体"/>
          <w:bCs/>
          <w:sz w:val="28"/>
          <w:szCs w:val="28"/>
          <w:lang w:val="en-US" w:eastAsia="zh-CN"/>
        </w:rPr>
        <w:t>体系</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_Toc243241608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192</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4979AD6E">
      <w:pPr>
        <w:pStyle w:val="14"/>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"_Toc243241609" </w:instrText>
      </w:r>
      <w:r>
        <w:rPr>
          <w:rFonts w:ascii="Times New Roman" w:hAnsi="Times New Roman"/>
          <w:sz w:val="28"/>
          <w:szCs w:val="28"/>
        </w:rPr>
        <w:fldChar w:fldCharType="separate"/>
      </w:r>
      <w:r>
        <w:rPr>
          <w:rStyle w:val="25"/>
          <w:rFonts w:hint="eastAsia" w:ascii="Times New Roman" w:hAnsi="Times New Roman" w:eastAsia="方正黑体简体" w:cs="方正黑体简体"/>
          <w:sz w:val="28"/>
          <w:szCs w:val="28"/>
          <w:lang w:val="en-US" w:eastAsia="zh-CN"/>
        </w:rPr>
        <w:t>四、细分产业层面：精准施策赋能，推动特色产业提质增效</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_Toc243241609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193</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5BFF20F0">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"_Toc243241610" </w:instrText>
      </w:r>
      <w:r>
        <w:rPr>
          <w:rFonts w:ascii="Times New Roman" w:hAnsi="Times New Roman"/>
          <w:sz w:val="28"/>
          <w:szCs w:val="28"/>
        </w:rPr>
        <w:fldChar w:fldCharType="separate"/>
      </w:r>
      <w:r>
        <w:rPr>
          <w:rStyle w:val="25"/>
          <w:rFonts w:hint="eastAsia" w:ascii="Times New Roman" w:hAnsi="Times New Roman" w:eastAsia="方正楷体简体" w:cs="方正楷体简体"/>
          <w:bCs/>
          <w:sz w:val="28"/>
          <w:szCs w:val="28"/>
          <w:lang w:val="en-US" w:eastAsia="zh-CN"/>
        </w:rPr>
        <w:t>（一）高原特色畜牧业</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_Toc243241610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193</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659F7811">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"_Toc243241611" </w:instrText>
      </w:r>
      <w:r>
        <w:rPr>
          <w:rFonts w:ascii="Times New Roman" w:hAnsi="Times New Roman"/>
          <w:sz w:val="28"/>
          <w:szCs w:val="28"/>
        </w:rPr>
        <w:fldChar w:fldCharType="separate"/>
      </w:r>
      <w:r>
        <w:rPr>
          <w:rStyle w:val="25"/>
          <w:rFonts w:hint="eastAsia" w:ascii="Times New Roman" w:hAnsi="Times New Roman" w:eastAsia="方正楷体简体" w:cs="方正楷体简体"/>
          <w:bCs/>
          <w:sz w:val="28"/>
          <w:szCs w:val="28"/>
          <w:lang w:val="en-US" w:eastAsia="zh-CN"/>
        </w:rPr>
        <w:t>（二）藏医药产业</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_Toc243241611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195</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31CE1F0F">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"_Toc243241612" </w:instrText>
      </w:r>
      <w:r>
        <w:rPr>
          <w:rFonts w:ascii="Times New Roman" w:hAnsi="Times New Roman"/>
          <w:sz w:val="28"/>
          <w:szCs w:val="28"/>
        </w:rPr>
        <w:fldChar w:fldCharType="separate"/>
      </w:r>
      <w:r>
        <w:rPr>
          <w:rStyle w:val="25"/>
          <w:rFonts w:hint="eastAsia" w:ascii="Times New Roman" w:hAnsi="Times New Roman" w:eastAsia="方正楷体简体" w:cs="方正楷体简体"/>
          <w:bCs/>
          <w:sz w:val="28"/>
          <w:szCs w:val="28"/>
          <w:lang w:val="en-US" w:eastAsia="zh-CN"/>
        </w:rPr>
        <w:t>（三）清洁能源产业</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_Toc243241612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196</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4B8A5818">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"_Toc243241613" </w:instrText>
      </w:r>
      <w:r>
        <w:rPr>
          <w:rFonts w:ascii="Times New Roman" w:hAnsi="Times New Roman"/>
          <w:sz w:val="28"/>
          <w:szCs w:val="28"/>
        </w:rPr>
        <w:fldChar w:fldCharType="separate"/>
      </w:r>
      <w:r>
        <w:rPr>
          <w:rStyle w:val="25"/>
          <w:rFonts w:hint="eastAsia" w:ascii="Times New Roman" w:hAnsi="Times New Roman" w:eastAsia="方正楷体简体" w:cs="方正楷体简体"/>
          <w:bCs/>
          <w:sz w:val="28"/>
          <w:szCs w:val="28"/>
          <w:lang w:val="en-US" w:eastAsia="zh-CN"/>
        </w:rPr>
        <w:t>（四）生态文旅产业</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_Toc243241613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198</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15625BCD">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"_Toc243241614" </w:instrText>
      </w:r>
      <w:r>
        <w:rPr>
          <w:rFonts w:ascii="Times New Roman" w:hAnsi="Times New Roman"/>
          <w:sz w:val="28"/>
          <w:szCs w:val="28"/>
        </w:rPr>
        <w:fldChar w:fldCharType="separate"/>
      </w:r>
      <w:r>
        <w:rPr>
          <w:rStyle w:val="25"/>
          <w:rFonts w:hint="eastAsia" w:ascii="Times New Roman" w:hAnsi="Times New Roman" w:eastAsia="方正楷体简体" w:cs="方正楷体简体"/>
          <w:bCs/>
          <w:sz w:val="28"/>
          <w:szCs w:val="28"/>
          <w:lang w:val="en-US" w:eastAsia="zh-CN"/>
        </w:rPr>
        <w:t>（五）绿色矿产业</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_Toc243241614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199</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79687B18">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"_Toc243241615" </w:instrText>
      </w:r>
      <w:r>
        <w:rPr>
          <w:rFonts w:ascii="Times New Roman" w:hAnsi="Times New Roman"/>
          <w:sz w:val="28"/>
          <w:szCs w:val="28"/>
        </w:rPr>
        <w:fldChar w:fldCharType="separate"/>
      </w:r>
      <w:r>
        <w:rPr>
          <w:rStyle w:val="25"/>
          <w:rFonts w:hint="eastAsia" w:ascii="Times New Roman" w:hAnsi="Times New Roman" w:eastAsia="方正楷体简体" w:cs="方正楷体简体"/>
          <w:bCs/>
          <w:sz w:val="28"/>
          <w:szCs w:val="28"/>
          <w:lang w:val="en-US" w:eastAsia="zh-CN"/>
        </w:rPr>
        <w:t>（六）交通物流产业</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_Toc243241615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201</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38474DB1">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"_Toc243241616" </w:instrText>
      </w:r>
      <w:r>
        <w:rPr>
          <w:rFonts w:ascii="Times New Roman" w:hAnsi="Times New Roman"/>
          <w:sz w:val="28"/>
          <w:szCs w:val="28"/>
        </w:rPr>
        <w:fldChar w:fldCharType="separate"/>
      </w:r>
      <w:r>
        <w:rPr>
          <w:rStyle w:val="25"/>
          <w:rFonts w:hint="eastAsia" w:ascii="Times New Roman" w:hAnsi="Times New Roman" w:eastAsia="方正楷体简体" w:cs="方正楷体简体"/>
          <w:bCs/>
          <w:sz w:val="28"/>
          <w:szCs w:val="28"/>
          <w:lang w:val="en-US" w:eastAsia="zh-CN"/>
        </w:rPr>
        <w:t>（七）民族手工业</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_Toc243241616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202</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227C5073">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"_Toc243241617" </w:instrText>
      </w:r>
      <w:r>
        <w:rPr>
          <w:rFonts w:ascii="Times New Roman" w:hAnsi="Times New Roman"/>
          <w:sz w:val="28"/>
          <w:szCs w:val="28"/>
        </w:rPr>
        <w:fldChar w:fldCharType="separate"/>
      </w:r>
      <w:r>
        <w:rPr>
          <w:rStyle w:val="25"/>
          <w:rFonts w:hint="eastAsia" w:ascii="Times New Roman" w:hAnsi="Times New Roman" w:eastAsia="方正楷体简体" w:cs="方正楷体简体"/>
          <w:bCs/>
          <w:sz w:val="28"/>
          <w:szCs w:val="28"/>
          <w:lang w:val="en-US" w:eastAsia="zh-CN"/>
        </w:rPr>
        <w:t>（八）高原特色种植业</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_Toc243241617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203</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16271AC1">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"_Toc243241618" </w:instrText>
      </w:r>
      <w:r>
        <w:rPr>
          <w:rFonts w:ascii="Times New Roman" w:hAnsi="Times New Roman"/>
          <w:sz w:val="28"/>
          <w:szCs w:val="28"/>
        </w:rPr>
        <w:fldChar w:fldCharType="separate"/>
      </w:r>
      <w:r>
        <w:rPr>
          <w:rStyle w:val="25"/>
          <w:rFonts w:hint="eastAsia" w:ascii="Times New Roman" w:hAnsi="Times New Roman" w:eastAsia="方正楷体简体" w:cs="方正楷体简体"/>
          <w:bCs/>
          <w:sz w:val="28"/>
          <w:szCs w:val="28"/>
          <w:lang w:val="en-US" w:eastAsia="zh-CN"/>
        </w:rPr>
        <w:t>（九）天然饮用水产业</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_Toc243241618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205</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753A22D2">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"_Toc243241619" </w:instrText>
      </w:r>
      <w:r>
        <w:rPr>
          <w:rFonts w:ascii="Times New Roman" w:hAnsi="Times New Roman"/>
          <w:sz w:val="28"/>
          <w:szCs w:val="28"/>
        </w:rPr>
        <w:fldChar w:fldCharType="separate"/>
      </w:r>
      <w:r>
        <w:rPr>
          <w:rStyle w:val="25"/>
          <w:rFonts w:hint="eastAsia" w:ascii="Times New Roman" w:hAnsi="Times New Roman" w:eastAsia="方正楷体简体" w:cs="方正楷体简体"/>
          <w:bCs/>
          <w:sz w:val="28"/>
          <w:szCs w:val="28"/>
          <w:lang w:val="en-US" w:eastAsia="zh-CN"/>
        </w:rPr>
        <w:t>（十）卤虫卵产业</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_Toc243241619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207</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5256C1C8">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"_Toc243241620" </w:instrText>
      </w:r>
      <w:r>
        <w:rPr>
          <w:rFonts w:ascii="Times New Roman" w:hAnsi="Times New Roman"/>
          <w:sz w:val="28"/>
          <w:szCs w:val="28"/>
        </w:rPr>
        <w:fldChar w:fldCharType="separate"/>
      </w:r>
      <w:r>
        <w:rPr>
          <w:rStyle w:val="25"/>
          <w:rFonts w:hint="eastAsia" w:ascii="Times New Roman" w:hAnsi="Times New Roman" w:eastAsia="方正楷体简体" w:cs="方正楷体简体"/>
          <w:bCs/>
          <w:sz w:val="28"/>
          <w:szCs w:val="28"/>
          <w:lang w:val="en-US" w:eastAsia="zh-CN"/>
        </w:rPr>
        <w:t>（十一）低空经济</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_Toc243241620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208</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6554FA48">
      <w:pPr>
        <w:pStyle w:val="17"/>
        <w:keepNext w:val="0"/>
        <w:keepLines w:val="0"/>
        <w:pageBreakBefore w:val="0"/>
        <w:widowControl w:val="0"/>
        <w:tabs>
          <w:tab w:val="right" w:leader="dot" w:pos="8835"/>
        </w:tabs>
        <w:kinsoku/>
        <w:wordWrap/>
        <w:overflowPunct/>
        <w:topLinePunct w:val="0"/>
        <w:autoSpaceDE w:val="0"/>
        <w:autoSpaceDN w:val="0"/>
        <w:bidi w:val="0"/>
        <w:adjustRightInd/>
        <w:snapToGrid/>
        <w:spacing w:line="490" w:lineRule="exact"/>
        <w:ind w:left="0" w:leftChars="0"/>
        <w:jc w:val="both"/>
        <w:textAlignment w:val="auto"/>
        <w:rPr>
          <w:rFonts w:hint="eastAsia" w:ascii="Times New Roman" w:hAnsi="Times New Roman" w:eastAsiaTheme="minorEastAsia" w:cstheme="minorBidi"/>
          <w:kern w:val="2"/>
          <w:sz w:val="28"/>
          <w:szCs w:val="28"/>
          <w:lang w:val="en-US" w:eastAsia="zh-CN" w:bidi="ar-SA"/>
          <w14:ligatures w14:val="standardContextual"/>
        </w:rPr>
      </w:pPr>
      <w:r>
        <w:rPr>
          <w:rFonts w:ascii="Times New Roman" w:hAnsi="Times New Roman"/>
          <w:sz w:val="28"/>
          <w:szCs w:val="28"/>
        </w:rPr>
        <w:fldChar w:fldCharType="begin"/>
      </w:r>
      <w:r>
        <w:rPr>
          <w:rFonts w:ascii="Times New Roman" w:hAnsi="Times New Roman"/>
          <w:sz w:val="28"/>
          <w:szCs w:val="28"/>
        </w:rPr>
        <w:instrText xml:space="preserve"> HYPERLINK \l "_Toc243241621" </w:instrText>
      </w:r>
      <w:r>
        <w:rPr>
          <w:rFonts w:ascii="Times New Roman" w:hAnsi="Times New Roman"/>
          <w:sz w:val="28"/>
          <w:szCs w:val="28"/>
        </w:rPr>
        <w:fldChar w:fldCharType="separate"/>
      </w:r>
      <w:r>
        <w:rPr>
          <w:rStyle w:val="25"/>
          <w:rFonts w:hint="eastAsia" w:ascii="Times New Roman" w:hAnsi="Times New Roman" w:eastAsia="方正楷体简体" w:cs="方正楷体简体"/>
          <w:bCs/>
          <w:sz w:val="28"/>
          <w:szCs w:val="28"/>
          <w:lang w:val="en-US" w:eastAsia="zh-CN"/>
        </w:rPr>
        <w:t>（十二）算力经济</w:t>
      </w:r>
      <w:r>
        <w:rPr>
          <w:rFonts w:hint="eastAsia" w:ascii="Times New Roman" w:hAnsi="Times New Roman"/>
          <w:sz w:val="28"/>
          <w:szCs w:val="28"/>
        </w:rPr>
        <w:tab/>
      </w:r>
      <w:r>
        <w:rPr>
          <w:rFonts w:hint="eastAsia" w:ascii="Times New Roman" w:hAnsi="Times New Roman"/>
          <w:sz w:val="28"/>
          <w:szCs w:val="28"/>
        </w:rPr>
        <w:fldChar w:fldCharType="begin"/>
      </w:r>
      <w:r>
        <w:rPr>
          <w:rFonts w:hint="eastAsia" w:ascii="Times New Roman" w:hAnsi="Times New Roman"/>
          <w:sz w:val="28"/>
          <w:szCs w:val="28"/>
        </w:rPr>
        <w:instrText xml:space="preserve"> </w:instrText>
      </w:r>
      <w:r>
        <w:rPr>
          <w:rFonts w:ascii="Times New Roman" w:hAnsi="Times New Roman"/>
          <w:sz w:val="28"/>
          <w:szCs w:val="28"/>
        </w:rPr>
        <w:instrText xml:space="preserve">PAGEREF _Toc243241621 \h</w:instrText>
      </w:r>
      <w:r>
        <w:rPr>
          <w:rFonts w:hint="eastAsia" w:ascii="Times New Roman" w:hAnsi="Times New Roman"/>
          <w:sz w:val="28"/>
          <w:szCs w:val="28"/>
        </w:rPr>
        <w:instrText xml:space="preserve"> </w:instrText>
      </w:r>
      <w:r>
        <w:rPr>
          <w:rFonts w:hint="eastAsia" w:ascii="Times New Roman" w:hAnsi="Times New Roman"/>
          <w:sz w:val="28"/>
          <w:szCs w:val="28"/>
        </w:rPr>
        <w:fldChar w:fldCharType="separate"/>
      </w:r>
      <w:r>
        <w:rPr>
          <w:rFonts w:ascii="Times New Roman" w:hAnsi="Times New Roman"/>
          <w:sz w:val="28"/>
          <w:szCs w:val="28"/>
        </w:rPr>
        <w:t>209</w:t>
      </w:r>
      <w:r>
        <w:rPr>
          <w:rFonts w:hint="eastAsia" w:ascii="Times New Roman" w:hAnsi="Times New Roman"/>
          <w:sz w:val="28"/>
          <w:szCs w:val="28"/>
        </w:rPr>
        <w:fldChar w:fldCharType="end"/>
      </w:r>
      <w:r>
        <w:rPr>
          <w:rFonts w:hint="eastAsia" w:ascii="Times New Roman" w:hAnsi="Times New Roman"/>
          <w:sz w:val="28"/>
          <w:szCs w:val="28"/>
        </w:rPr>
        <w:fldChar w:fldCharType="end"/>
      </w:r>
    </w:p>
    <w:p w14:paraId="76F0F84A">
      <w:pPr>
        <w:pStyle w:val="27"/>
        <w:keepNext w:val="0"/>
        <w:keepLines w:val="0"/>
        <w:pageBreakBefore w:val="0"/>
        <w:widowControl w:val="0"/>
        <w:tabs>
          <w:tab w:val="left" w:pos="1248"/>
        </w:tabs>
        <w:kinsoku/>
        <w:wordWrap/>
        <w:overflowPunct/>
        <w:topLinePunct w:val="0"/>
        <w:autoSpaceDE w:val="0"/>
        <w:autoSpaceDN w:val="0"/>
        <w:bidi w:val="0"/>
        <w:adjustRightInd/>
        <w:snapToGrid/>
        <w:spacing w:line="490" w:lineRule="exact"/>
        <w:ind w:left="0" w:leftChars="0"/>
        <w:jc w:val="both"/>
        <w:textAlignment w:val="auto"/>
        <w:rPr>
          <w:rFonts w:ascii="Times New Roman" w:hAnsi="Times New Roman" w:eastAsia="方正黑体简体" w:cs="方正黑体简体"/>
          <w:spacing w:val="-2"/>
          <w:sz w:val="32"/>
          <w:szCs w:val="32"/>
          <w:lang w:eastAsia="zh-CN"/>
        </w:rPr>
      </w:pPr>
      <w:r>
        <w:rPr>
          <w:rFonts w:hint="eastAsia" w:ascii="Times New Roman" w:hAnsi="Times New Roman" w:eastAsia="方正仿宋简体" w:cs="方正黑体简体"/>
          <w:spacing w:val="-2"/>
          <w:sz w:val="28"/>
          <w:szCs w:val="28"/>
        </w:rPr>
        <w:fldChar w:fldCharType="end"/>
      </w:r>
    </w:p>
    <w:p w14:paraId="15721D1B">
      <w:pPr>
        <w:jc w:val="both"/>
        <w:rPr>
          <w:rFonts w:ascii="Times New Roman" w:hAnsi="Times New Roman"/>
        </w:rPr>
      </w:pPr>
    </w:p>
    <w:p w14:paraId="55D34FC7">
      <w:pPr>
        <w:spacing w:line="560" w:lineRule="exact"/>
        <w:jc w:val="both"/>
        <w:rPr>
          <w:rFonts w:ascii="Times New Roman" w:hAnsi="Times New Roman" w:eastAsia="方正小标宋简体" w:cs="方正小标宋简体"/>
          <w:sz w:val="44"/>
          <w:szCs w:val="44"/>
        </w:rPr>
        <w:sectPr>
          <w:footerReference r:id="rId3" w:type="default"/>
          <w:pgSz w:w="11906" w:h="16838"/>
          <w:pgMar w:top="2098" w:right="1474" w:bottom="1984" w:left="1587" w:header="851" w:footer="992" w:gutter="0"/>
          <w:pgNumType w:fmt="decimal" w:start="1"/>
          <w:cols w:space="425" w:num="1"/>
          <w:docGrid w:type="lines" w:linePitch="312" w:charSpace="0"/>
        </w:sectPr>
      </w:pPr>
    </w:p>
    <w:p w14:paraId="26A85D43">
      <w:pPr>
        <w:spacing w:line="576" w:lineRule="exact"/>
        <w:jc w:val="center"/>
        <w:outlineLvl w:val="0"/>
        <w:rPr>
          <w:rFonts w:ascii="Times New Roman" w:hAnsi="Times New Roman" w:eastAsia="方正小标宋简体" w:cs="方正小标宋简体"/>
          <w:bCs/>
          <w:sz w:val="44"/>
          <w:szCs w:val="44"/>
          <w:lang w:eastAsia="zh-CN"/>
        </w:rPr>
      </w:pPr>
      <w:bookmarkStart w:id="0" w:name="_Toc243241378"/>
      <w:r>
        <w:rPr>
          <w:rFonts w:hint="eastAsia" w:ascii="Times New Roman" w:hAnsi="Times New Roman" w:eastAsia="方正小标宋简体" w:cs="方正小标宋简体"/>
          <w:bCs/>
          <w:sz w:val="44"/>
          <w:szCs w:val="44"/>
          <w:lang w:eastAsia="zh-CN"/>
        </w:rPr>
        <w:t>前言</w:t>
      </w:r>
      <w:bookmarkEnd w:id="0"/>
    </w:p>
    <w:p w14:paraId="240E9042">
      <w:pPr>
        <w:topLinePunct/>
        <w:autoSpaceDE/>
        <w:autoSpaceDN/>
        <w:spacing w:line="576" w:lineRule="exact"/>
        <w:ind w:firstLine="640" w:firstLineChars="200"/>
        <w:jc w:val="both"/>
        <w:rPr>
          <w:rFonts w:hint="eastAsia" w:ascii="Times New Roman" w:hAnsi="Times New Roman" w:eastAsia="方正仿宋简体" w:cs="方正仿宋简体"/>
          <w:bCs/>
          <w:sz w:val="32"/>
          <w:szCs w:val="32"/>
        </w:rPr>
      </w:pPr>
    </w:p>
    <w:p w14:paraId="5DC1014D">
      <w:pPr>
        <w:pStyle w:val="8"/>
        <w:topLinePunct/>
        <w:autoSpaceDE/>
        <w:autoSpaceDN/>
        <w:spacing w:before="0" w:line="576" w:lineRule="exact"/>
        <w:ind w:left="0" w:firstLine="640" w:firstLineChars="200"/>
        <w:jc w:val="both"/>
        <w:rPr>
          <w:rFonts w:hint="eastAsia" w:ascii="Times New Roman" w:hAnsi="Times New Roman" w:eastAsia="方正仿宋简体" w:cs="方正仿宋简体"/>
          <w:sz w:val="32"/>
          <w:szCs w:val="32"/>
        </w:rPr>
      </w:pPr>
      <w:r>
        <w:rPr>
          <w:rFonts w:hint="eastAsia" w:ascii="Times New Roman" w:hAnsi="Times New Roman" w:eastAsia="方正仿宋简体" w:cs="方正仿宋简体"/>
          <w:bCs/>
          <w:sz w:val="32"/>
          <w:szCs w:val="32"/>
          <w:lang w:val="en-US" w:eastAsia="zh-CN"/>
        </w:rPr>
        <w:t>那</w:t>
      </w:r>
      <w:r>
        <w:rPr>
          <w:rFonts w:hint="eastAsia" w:ascii="Times New Roman" w:hAnsi="Times New Roman" w:eastAsia="方正仿宋简体" w:cs="方正仿宋简体"/>
          <w:sz w:val="32"/>
          <w:szCs w:val="32"/>
        </w:rPr>
        <w:t>曲地处藏北羌塘高原，是贯通南北、联动东西的战略枢纽，肩负筑牢国家国土安全、生态安全双重屏障重大使命，境内特色资源富集、区位优势突出，依托五条生命线交通廊道、广袤高原国土、全域特色物产三重独特禀赋，是服务稳边固疆、统筹区域协同发展的战略支点。</w:t>
      </w:r>
    </w:p>
    <w:p w14:paraId="505BD232">
      <w:pPr>
        <w:pStyle w:val="8"/>
        <w:topLinePunct/>
        <w:autoSpaceDE/>
        <w:autoSpaceDN/>
        <w:spacing w:before="0" w:line="576" w:lineRule="exact"/>
        <w:ind w:left="0" w:firstLine="640" w:firstLineChars="200"/>
        <w:jc w:val="both"/>
        <w:rPr>
          <w:rFonts w:hint="eastAsia"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“十四五”时期全市经济社会发展各项目标任务已全面收官，“十五五</w:t>
      </w:r>
      <w:r>
        <w:rPr>
          <w:rFonts w:hint="eastAsia" w:ascii="Times New Roman" w:hAnsi="Times New Roman" w:eastAsia="方正仿宋简体" w:cs="方正仿宋简体"/>
          <w:sz w:val="32"/>
          <w:szCs w:val="32"/>
          <w:lang w:eastAsia="zh-CN"/>
        </w:rPr>
        <w:t>”</w:t>
      </w:r>
      <w:r>
        <w:rPr>
          <w:rFonts w:hint="eastAsia" w:ascii="Times New Roman" w:hAnsi="Times New Roman" w:eastAsia="方正仿宋简体" w:cs="方正仿宋简体"/>
          <w:sz w:val="32"/>
          <w:szCs w:val="32"/>
        </w:rPr>
        <w:t>规划建设全面起势。立足现阶段发展实际，</w:t>
      </w:r>
      <w:r>
        <w:rPr>
          <w:rFonts w:hint="eastAsia" w:ascii="Times New Roman" w:hAnsi="Times New Roman" w:eastAsia="方正仿宋简体" w:cs="方正仿宋简体"/>
          <w:sz w:val="32"/>
          <w:szCs w:val="32"/>
          <w:lang w:val="en-US" w:eastAsia="zh-CN"/>
        </w:rPr>
        <w:t>那曲市</w:t>
      </w:r>
      <w:r>
        <w:rPr>
          <w:rFonts w:hint="eastAsia" w:ascii="Times New Roman" w:hAnsi="Times New Roman" w:eastAsia="方正仿宋简体" w:cs="方正仿宋简体"/>
          <w:sz w:val="32"/>
          <w:szCs w:val="32"/>
        </w:rPr>
        <w:t>仍存在经济体量偏小、产业基础薄弱、特色资源价值转化不充分等突出短板，加快产业转型升级、培育高原特色全新增长动能，是当前推进高质量发展的核心攻坚任务。为深入贯彻习近平总书记关于西藏工作的重要指示</w:t>
      </w:r>
      <w:r>
        <w:rPr>
          <w:rFonts w:hint="eastAsia" w:ascii="Times New Roman" w:hAnsi="Times New Roman" w:eastAsia="方正仿宋简体" w:cs="方正仿宋简体"/>
          <w:bCs/>
          <w:sz w:val="32"/>
          <w:szCs w:val="32"/>
          <w:lang w:val="en-US" w:eastAsia="zh-CN"/>
        </w:rPr>
        <w:t>和新时代党的治藏方略，聚焦“四件大事”，聚力推进“四个创建”，严格落实“三个赋</w:t>
      </w:r>
      <w:r>
        <w:rPr>
          <w:rFonts w:hint="eastAsia" w:ascii="Times New Roman" w:hAnsi="Times New Roman" w:eastAsia="方正仿宋简体" w:cs="方正仿宋简体"/>
          <w:sz w:val="32"/>
          <w:szCs w:val="32"/>
        </w:rPr>
        <w:t>予一个有利于”总要求，系统破解要素保障不足、产业链条偏短等发展堵点，推动生态优势、资源优势高效转化为经济优势、民生优势，立足全市资源底数、产业根基与发展短板，编制《那曲市特色产业目录（2026—2028</w:t>
      </w:r>
      <w:r>
        <w:rPr>
          <w:rFonts w:hint="eastAsia" w:ascii="Times New Roman" w:hAnsi="Times New Roman" w:eastAsia="方正仿宋简体" w:cs="方正仿宋简体"/>
          <w:sz w:val="32"/>
          <w:szCs w:val="32"/>
          <w:lang w:eastAsia="zh-CN"/>
        </w:rPr>
        <w:t>年</w:t>
      </w:r>
      <w:r>
        <w:rPr>
          <w:rFonts w:hint="eastAsia" w:ascii="Times New Roman" w:hAnsi="Times New Roman" w:eastAsia="方正仿宋简体" w:cs="方正仿宋简体"/>
          <w:sz w:val="32"/>
          <w:szCs w:val="32"/>
        </w:rPr>
        <w:t>）》（以下简称《目录》）。</w:t>
      </w:r>
    </w:p>
    <w:p w14:paraId="6D9B9F3A">
      <w:pPr>
        <w:pStyle w:val="8"/>
        <w:topLinePunct/>
        <w:autoSpaceDE/>
        <w:autoSpaceDN/>
        <w:spacing w:before="0" w:line="576" w:lineRule="exact"/>
        <w:ind w:left="0" w:firstLine="640" w:firstLineChars="200"/>
        <w:jc w:val="both"/>
        <w:rPr>
          <w:rFonts w:hint="eastAsia" w:ascii="Times New Roman" w:hAnsi="Times New Roman" w:eastAsia="方正仿宋简体" w:cs="方正仿宋简体"/>
          <w:bCs/>
          <w:sz w:val="32"/>
          <w:szCs w:val="32"/>
          <w:lang w:val="en-US" w:eastAsia="zh-CN"/>
        </w:rPr>
      </w:pPr>
      <w:r>
        <w:rPr>
          <w:rFonts w:hint="eastAsia" w:ascii="Times New Roman" w:hAnsi="Times New Roman" w:eastAsia="方正仿宋简体" w:cs="方正仿宋简体"/>
          <w:sz w:val="32"/>
          <w:szCs w:val="32"/>
        </w:rPr>
        <w:t>《目录》编制始终坚持因地制宜、科学统筹、精准施策工作准则，锚定市委打造中华民族共同体建设示范地、高原特色畜牧业产品供应地、国家清</w:t>
      </w:r>
      <w:r>
        <w:rPr>
          <w:rFonts w:hint="eastAsia" w:ascii="Times New Roman" w:hAnsi="Times New Roman" w:eastAsia="方正仿宋简体" w:cs="方正仿宋简体"/>
          <w:bCs/>
          <w:sz w:val="32"/>
          <w:szCs w:val="32"/>
          <w:lang w:val="en-US" w:eastAsia="zh-CN"/>
        </w:rPr>
        <w:t>洁能源贡献地、国家生态安全屏障保护地、国家重要战略物资储备地“五地”建设发展总路径，推动特色产业培育与乡村振兴深度融合，全面对标国家、自治区“十五五”产业规划及配套政策体系。编制全过程得到市直各单位、各县（区）、各乡（镇）大力支持，全覆盖梳理全市11个县（区）、114个乡（镇）产业台账、统计数据，经实地调研、专家论证、征求多方意见，反复校核数据、打磨文稿后形成《目录》。</w:t>
      </w:r>
    </w:p>
    <w:p w14:paraId="063876D3">
      <w:pPr>
        <w:pStyle w:val="8"/>
        <w:topLinePunct/>
        <w:autoSpaceDE/>
        <w:autoSpaceDN/>
        <w:spacing w:before="0" w:line="576" w:lineRule="exact"/>
        <w:ind w:left="0" w:firstLine="640" w:firstLineChars="200"/>
        <w:jc w:val="both"/>
        <w:rPr>
          <w:rFonts w:hint="eastAsia" w:ascii="Times New Roman" w:hAnsi="Times New Roman" w:eastAsia="方正仿宋简体" w:cs="方正仿宋简体"/>
          <w:bCs/>
          <w:sz w:val="32"/>
          <w:szCs w:val="32"/>
          <w:lang w:val="en-US" w:eastAsia="zh-CN"/>
        </w:rPr>
      </w:pPr>
      <w:r>
        <w:rPr>
          <w:rFonts w:hint="eastAsia" w:ascii="Times New Roman" w:hAnsi="Times New Roman" w:eastAsia="方正仿宋简体" w:cs="方正仿宋简体"/>
          <w:bCs/>
          <w:sz w:val="32"/>
          <w:szCs w:val="32"/>
          <w:lang w:val="en-US" w:eastAsia="zh-CN"/>
        </w:rPr>
        <w:t>《目录》完整、准确、全面贯彻新发展理念，以服务构建新发展格局为导向，聚焦高原特色农牧业、清洁能源、生态文旅、藏医药、民族手工业五大核心赛道，按照产业成熟度、经济贡献、资源稀缺性、中长期增长潜力，划分基础产业、支柱产业、潜力产业、新兴战略产业四大类别，分领域明确发展定位、实施路径、重点任务与配套保障，构建布局科学、特色鲜明、优势互补、生态友好的那曲现代化特色产业体系。</w:t>
      </w:r>
    </w:p>
    <w:p w14:paraId="1D63D342">
      <w:pPr>
        <w:pStyle w:val="8"/>
        <w:topLinePunct/>
        <w:autoSpaceDE/>
        <w:autoSpaceDN/>
        <w:spacing w:before="0" w:line="576" w:lineRule="exact"/>
        <w:ind w:left="0" w:firstLine="640" w:firstLineChars="200"/>
        <w:jc w:val="both"/>
        <w:rPr>
          <w:rFonts w:hint="eastAsia" w:ascii="Times New Roman" w:hAnsi="Times New Roman" w:eastAsia="方正仿宋简体" w:cs="方正仿宋简体"/>
          <w:bCs/>
          <w:sz w:val="32"/>
          <w:szCs w:val="32"/>
          <w:lang w:val="en-US"/>
        </w:rPr>
      </w:pPr>
      <w:r>
        <w:rPr>
          <w:rFonts w:hint="eastAsia" w:ascii="Times New Roman" w:hAnsi="Times New Roman" w:eastAsia="方正仿宋简体" w:cs="方正仿宋简体"/>
          <w:sz w:val="32"/>
          <w:szCs w:val="32"/>
        </w:rPr>
        <w:t>《目录》并非固定不变，通常每2</w:t>
      </w:r>
      <w:r>
        <w:rPr>
          <w:rFonts w:hint="eastAsia" w:ascii="Times New Roman" w:hAnsi="Times New Roman" w:eastAsia="方正仿宋简体" w:cs="方正仿宋简体"/>
          <w:sz w:val="32"/>
          <w:szCs w:val="32"/>
          <w:lang w:val="en-US" w:eastAsia="zh-CN"/>
        </w:rPr>
        <w:t>至</w:t>
      </w:r>
      <w:r>
        <w:rPr>
          <w:rFonts w:hint="eastAsia" w:ascii="Times New Roman" w:hAnsi="Times New Roman" w:eastAsia="方正仿宋简体" w:cs="方正仿宋简体"/>
          <w:sz w:val="32"/>
          <w:szCs w:val="32"/>
        </w:rPr>
        <w:t>3年结合市场变化（如畜产品价格波动、文旅消费趋势）</w:t>
      </w:r>
      <w:r>
        <w:rPr>
          <w:rFonts w:hint="eastAsia" w:ascii="Times New Roman" w:hAnsi="Times New Roman" w:eastAsia="方正仿宋简体" w:cs="方正仿宋简体"/>
          <w:bCs/>
          <w:sz w:val="32"/>
          <w:szCs w:val="32"/>
          <w:lang w:val="en-US" w:eastAsia="zh-CN"/>
        </w:rPr>
        <w:t>和资源开发新进展</w:t>
      </w:r>
      <w:r>
        <w:rPr>
          <w:rFonts w:hint="eastAsia" w:ascii="Times New Roman" w:hAnsi="Times New Roman" w:eastAsia="方正仿宋简体" w:cs="方正仿宋简体"/>
          <w:sz w:val="32"/>
          <w:szCs w:val="32"/>
        </w:rPr>
        <w:t>（如新型清洁能源技术应用）进行修订，确保时效性。</w:t>
      </w:r>
    </w:p>
    <w:p w14:paraId="3F332EC8">
      <w:pPr>
        <w:pStyle w:val="8"/>
        <w:topLinePunct/>
        <w:autoSpaceDE/>
        <w:autoSpaceDN/>
        <w:spacing w:before="0" w:line="576" w:lineRule="exact"/>
        <w:ind w:left="0" w:firstLine="640" w:firstLineChars="200"/>
        <w:jc w:val="both"/>
        <w:rPr>
          <w:rFonts w:hint="eastAsia" w:ascii="Times New Roman" w:hAnsi="Times New Roman" w:eastAsia="方正仿宋简体" w:cs="方正仿宋简体"/>
          <w:bCs/>
          <w:sz w:val="32"/>
          <w:szCs w:val="32"/>
          <w:lang w:val="en-US" w:eastAsia="zh-CN"/>
        </w:rPr>
      </w:pPr>
      <w:r>
        <w:rPr>
          <w:rFonts w:hint="eastAsia" w:ascii="Times New Roman" w:hAnsi="Times New Roman" w:eastAsia="方正仿宋简体" w:cs="方正仿宋简体"/>
          <w:bCs/>
          <w:sz w:val="32"/>
          <w:szCs w:val="32"/>
          <w:lang w:val="en-US" w:eastAsia="zh-CN"/>
        </w:rPr>
        <w:t>《目录》是全市产业政策落地、项目谋划储备、生产要素统筹、招商引资洽谈的权威指引，可为各级各部门精准施策、各类市场主体投资兴业搭建标准化政策平台。全市上下要以《目录》实施为抓手，持续壮大特色产业规模、提升产业发展质效，在推进藏北高原高质量发展中主动担当、争先突破，为建设团结富裕文明和谐美丽的社会主义现代化新西藏夯实产业根基、贡献那曲力量。</w:t>
      </w:r>
    </w:p>
    <w:p w14:paraId="299675FD">
      <w:pPr>
        <w:pStyle w:val="8"/>
        <w:topLinePunct/>
        <w:autoSpaceDE/>
        <w:autoSpaceDN/>
        <w:spacing w:before="0" w:line="576" w:lineRule="exact"/>
        <w:ind w:left="0" w:firstLine="640" w:firstLineChars="200"/>
        <w:jc w:val="both"/>
        <w:rPr>
          <w:rFonts w:hint="eastAsia" w:ascii="Times New Roman" w:hAnsi="Times New Roman" w:eastAsia="方正仿宋简体" w:cs="方正仿宋简体"/>
          <w:bCs/>
          <w:sz w:val="32"/>
          <w:szCs w:val="32"/>
          <w:lang w:val="en-US" w:eastAsia="zh-CN"/>
        </w:rPr>
        <w:sectPr>
          <w:footerReference r:id="rId4" w:type="default"/>
          <w:pgSz w:w="11906" w:h="16838"/>
          <w:pgMar w:top="2098" w:right="1474" w:bottom="1984" w:left="1587" w:header="851" w:footer="992" w:gutter="0"/>
          <w:pgNumType w:fmt="decimal" w:start="1" w:chapStyle="1"/>
          <w:cols w:space="425" w:num="1"/>
          <w:docGrid w:type="lines" w:linePitch="312" w:charSpace="0"/>
        </w:sectPr>
      </w:pPr>
    </w:p>
    <w:p w14:paraId="0C3941C1">
      <w:pPr>
        <w:pStyle w:val="27"/>
        <w:tabs>
          <w:tab w:val="left" w:pos="1248"/>
        </w:tabs>
        <w:topLinePunct/>
        <w:autoSpaceDE/>
        <w:autoSpaceDN/>
        <w:spacing w:line="576" w:lineRule="exact"/>
        <w:jc w:val="center"/>
        <w:outlineLvl w:val="0"/>
        <w:rPr>
          <w:rFonts w:ascii="Times New Roman" w:hAnsi="Times New Roman" w:eastAsia="方正小标宋简体" w:cs="方正仿宋简体"/>
          <w:b w:val="0"/>
          <w:bCs/>
          <w:spacing w:val="-2"/>
          <w:sz w:val="44"/>
          <w:szCs w:val="44"/>
        </w:rPr>
      </w:pPr>
      <w:bookmarkStart w:id="1" w:name="_Toc243241379"/>
      <w:r>
        <w:rPr>
          <w:rFonts w:hint="eastAsia" w:ascii="Times New Roman" w:hAnsi="Times New Roman" w:eastAsia="方正小标宋简体" w:cs="方正仿宋简体"/>
          <w:b w:val="0"/>
          <w:bCs/>
          <w:spacing w:val="-2"/>
          <w:sz w:val="44"/>
          <w:szCs w:val="44"/>
        </w:rPr>
        <w:t>第一章</w:t>
      </w:r>
      <w:r>
        <w:rPr>
          <w:rFonts w:hint="eastAsia" w:ascii="Times New Roman" w:hAnsi="Times New Roman" w:eastAsia="方正小标宋简体" w:cs="方正仿宋简体"/>
          <w:b w:val="0"/>
          <w:bCs/>
          <w:spacing w:val="-2"/>
          <w:sz w:val="44"/>
          <w:szCs w:val="44"/>
          <w:lang w:val="en-US" w:eastAsia="zh-CN"/>
        </w:rPr>
        <w:t xml:space="preserve"> </w:t>
      </w:r>
      <w:r>
        <w:rPr>
          <w:rFonts w:hint="eastAsia" w:ascii="Times New Roman" w:hAnsi="Times New Roman" w:eastAsia="方正小标宋简体" w:cs="方正仿宋简体"/>
          <w:b w:val="0"/>
          <w:bCs/>
          <w:spacing w:val="-2"/>
          <w:sz w:val="44"/>
          <w:szCs w:val="44"/>
        </w:rPr>
        <w:t>绪论</w:t>
      </w:r>
      <w:bookmarkEnd w:id="1"/>
    </w:p>
    <w:p w14:paraId="0B9C5099">
      <w:pPr>
        <w:pStyle w:val="8"/>
        <w:topLinePunct/>
        <w:autoSpaceDE/>
        <w:autoSpaceDN/>
        <w:spacing w:before="0" w:line="576" w:lineRule="exact"/>
        <w:ind w:left="0" w:firstLine="640" w:firstLineChars="200"/>
        <w:jc w:val="both"/>
        <w:rPr>
          <w:rStyle w:val="25"/>
          <w:rFonts w:ascii="Times New Roman" w:hAnsi="Times New Roman" w:eastAsia="方正黑体简体" w:cs="方正仿宋简体"/>
          <w:bCs/>
          <w:color w:val="auto"/>
          <w:sz w:val="32"/>
          <w:szCs w:val="32"/>
          <w:u w:val="none"/>
          <w:lang w:val="en-US" w:eastAsia="zh-CN"/>
        </w:rPr>
      </w:pPr>
    </w:p>
    <w:p w14:paraId="06CCBC00">
      <w:pPr>
        <w:pStyle w:val="8"/>
        <w:topLinePunct/>
        <w:autoSpaceDE/>
        <w:autoSpaceDN/>
        <w:spacing w:before="0" w:line="576" w:lineRule="exact"/>
        <w:ind w:left="0" w:firstLine="640" w:firstLineChars="200"/>
        <w:jc w:val="both"/>
        <w:outlineLvl w:val="0"/>
        <w:rPr>
          <w:rFonts w:ascii="Times New Roman" w:hAnsi="Times New Roman" w:eastAsia="方正仿宋简体" w:cs="方正仿宋简体"/>
          <w:bCs/>
          <w:sz w:val="32"/>
          <w:szCs w:val="32"/>
          <w:lang w:val="en-US" w:eastAsia="zh-CN"/>
        </w:rPr>
      </w:pPr>
      <w:bookmarkStart w:id="2" w:name="_Toc243241380"/>
      <w:r>
        <w:rPr>
          <w:rStyle w:val="25"/>
          <w:rFonts w:hint="eastAsia" w:ascii="Times New Roman" w:hAnsi="Times New Roman" w:eastAsia="方正黑体简体" w:cs="方正仿宋简体"/>
          <w:bCs/>
          <w:color w:val="auto"/>
          <w:sz w:val="32"/>
          <w:szCs w:val="32"/>
          <w:u w:val="none"/>
          <w:lang w:val="en-US" w:eastAsia="zh-CN"/>
        </w:rPr>
        <w:t>一、</w:t>
      </w:r>
      <w:r>
        <w:rPr>
          <w:rStyle w:val="25"/>
          <w:rFonts w:hint="eastAsia" w:ascii="Times New Roman" w:hAnsi="Times New Roman" w:eastAsia="方正黑体简体" w:cs="方正仿宋简体"/>
          <w:bCs/>
          <w:color w:val="auto"/>
          <w:sz w:val="32"/>
          <w:szCs w:val="32"/>
          <w:u w:val="none"/>
        </w:rPr>
        <w:t>编制背景</w:t>
      </w:r>
      <w:bookmarkEnd w:id="2"/>
    </w:p>
    <w:p w14:paraId="77550B3D">
      <w:pPr>
        <w:pStyle w:val="8"/>
        <w:topLinePunct/>
        <w:autoSpaceDE/>
        <w:autoSpaceDN/>
        <w:spacing w:before="0" w:line="576" w:lineRule="exact"/>
        <w:ind w:left="0" w:firstLine="640" w:firstLineChars="200"/>
        <w:jc w:val="both"/>
        <w:rPr>
          <w:rFonts w:hint="eastAsia" w:ascii="Times New Roman" w:hAnsi="Times New Roman" w:eastAsia="方正仿宋简体" w:cs="方正仿宋简体"/>
          <w:sz w:val="32"/>
          <w:szCs w:val="32"/>
          <w:lang w:val="en-US" w:eastAsia="zh-CN"/>
        </w:rPr>
      </w:pPr>
      <w:r>
        <w:rPr>
          <w:rFonts w:hint="eastAsia" w:ascii="Times New Roman" w:hAnsi="Times New Roman" w:eastAsia="方正仿宋简体" w:cs="方正仿宋简体"/>
          <w:sz w:val="32"/>
          <w:szCs w:val="32"/>
          <w:lang w:val="en-US" w:eastAsia="zh-CN"/>
        </w:rPr>
        <w:t>当前，国家深入实施区域协调发展、全面推进乡村振兴战略，将发展特色</w:t>
      </w:r>
      <w:r>
        <w:rPr>
          <w:rFonts w:hint="eastAsia" w:ascii="Times New Roman" w:hAnsi="Times New Roman" w:eastAsia="方正仿宋简体" w:cs="方正仿宋简体"/>
          <w:sz w:val="32"/>
          <w:szCs w:val="32"/>
        </w:rPr>
        <w:t>优势</w:t>
      </w:r>
      <w:r>
        <w:rPr>
          <w:rFonts w:hint="eastAsia" w:ascii="Times New Roman" w:hAnsi="Times New Roman" w:eastAsia="方正仿宋简体" w:cs="方正仿宋简体"/>
          <w:sz w:val="32"/>
          <w:szCs w:val="32"/>
          <w:lang w:val="en-US" w:eastAsia="zh-CN"/>
        </w:rPr>
        <w:t>产业作为推动全国经济高质量发展的核心抓手。</w:t>
      </w:r>
      <w:bookmarkStart w:id="3" w:name="OLE_LINK16"/>
      <w:r>
        <w:rPr>
          <w:rFonts w:hint="eastAsia" w:ascii="Times New Roman" w:hAnsi="Times New Roman" w:eastAsia="方正仿宋简体" w:cs="方正仿宋简体"/>
          <w:sz w:val="32"/>
          <w:szCs w:val="32"/>
          <w:lang w:val="en-US" w:eastAsia="zh-CN"/>
        </w:rPr>
        <w:t>国家层面先后印发</w:t>
      </w:r>
      <w:bookmarkStart w:id="4" w:name="OLE_LINK88"/>
      <w:r>
        <w:rPr>
          <w:rFonts w:hint="eastAsia" w:ascii="Times New Roman" w:hAnsi="Times New Roman" w:eastAsia="方正仿宋简体" w:cs="方正仿宋简体"/>
          <w:sz w:val="32"/>
          <w:szCs w:val="32"/>
          <w:lang w:val="en-US" w:eastAsia="zh-CN"/>
        </w:rPr>
        <w:t>《中华人民共和国乡村振兴促进法》</w:t>
      </w:r>
      <w:bookmarkEnd w:id="4"/>
      <w:r>
        <w:rPr>
          <w:rFonts w:hint="eastAsia" w:ascii="Times New Roman" w:hAnsi="Times New Roman" w:eastAsia="方正仿宋简体" w:cs="方正仿宋简体"/>
          <w:sz w:val="32"/>
          <w:szCs w:val="32"/>
          <w:lang w:val="en-US" w:eastAsia="zh-CN"/>
        </w:rPr>
        <w:t>《“十四五”推进农业农村现代化规划》等一系列政策法规</w:t>
      </w:r>
      <w:bookmarkEnd w:id="3"/>
      <w:r>
        <w:rPr>
          <w:rFonts w:hint="eastAsia" w:ascii="Times New Roman" w:hAnsi="Times New Roman" w:eastAsia="方正仿宋简体" w:cs="方正仿宋简体"/>
          <w:sz w:val="32"/>
          <w:szCs w:val="32"/>
          <w:lang w:val="en-US" w:eastAsia="zh-CN"/>
        </w:rPr>
        <w:t>，构建起财政奖补、要素保障、市场培育、主体扶持全链条政策支撑体系，为各地立足资源禀赋培育特色产业提供顶层制度遵循。自治区聚焦“四件大事”，锚定铸牢中华民族共同体意识主线，按照自治区“十五五”规划部署，构建</w:t>
      </w:r>
      <w:bookmarkStart w:id="5" w:name="OLE_LINK19"/>
      <w:r>
        <w:rPr>
          <w:rFonts w:hint="eastAsia" w:ascii="Times New Roman" w:hAnsi="Times New Roman" w:eastAsia="方正仿宋简体" w:cs="方正仿宋简体"/>
          <w:sz w:val="32"/>
          <w:szCs w:val="32"/>
          <w:lang w:val="en-US" w:eastAsia="zh-CN"/>
        </w:rPr>
        <w:t>“4+4+X”高原现代化产业体系</w:t>
      </w:r>
      <w:bookmarkEnd w:id="5"/>
      <w:r>
        <w:rPr>
          <w:rFonts w:hint="eastAsia" w:ascii="Times New Roman" w:hAnsi="Times New Roman" w:eastAsia="方正仿宋简体" w:cs="方正仿宋简体"/>
          <w:sz w:val="32"/>
          <w:szCs w:val="32"/>
          <w:lang w:val="en-US" w:eastAsia="zh-CN"/>
        </w:rPr>
        <w:t>，统筹布局高原特色农牧业、清洁能源、文化旅游、藏医药、边贸物流、绿色工业、高新数字、现代服务、通用航空九大产业，明确全区产业发展顶层路径，为那曲市产业规划、项目布局划定清晰导向。</w:t>
      </w:r>
    </w:p>
    <w:p w14:paraId="149D08B1">
      <w:pPr>
        <w:pStyle w:val="8"/>
        <w:topLinePunct/>
        <w:autoSpaceDE/>
        <w:autoSpaceDN/>
        <w:spacing w:before="0" w:line="576" w:lineRule="exact"/>
        <w:ind w:left="0" w:firstLine="640" w:firstLineChars="200"/>
        <w:jc w:val="both"/>
        <w:rPr>
          <w:rFonts w:hint="eastAsia" w:ascii="Times New Roman" w:hAnsi="Times New Roman" w:eastAsia="方正仿宋简体" w:cs="方正仿宋简体"/>
          <w:sz w:val="32"/>
          <w:szCs w:val="32"/>
          <w:lang w:val="en-US" w:eastAsia="zh-CN"/>
        </w:rPr>
      </w:pPr>
      <w:r>
        <w:rPr>
          <w:rFonts w:hint="eastAsia" w:ascii="Times New Roman" w:hAnsi="Times New Roman" w:eastAsia="方正仿宋简体" w:cs="方正仿宋简体"/>
          <w:sz w:val="32"/>
          <w:szCs w:val="32"/>
          <w:lang w:val="en-US" w:eastAsia="zh-CN"/>
        </w:rPr>
        <w:t>那曲市地处羌塘高原核心区，是国家生态安全屏障关键承载板块、全国五大牧区重要组成部分，统筹承担生态保护、稳边固疆、产业富民多重战略使命。市委立足市情实际，锚定“五地”建设发展总路径，将做强高原畜牧、做大清洁能源作为落实高质量发展、释放资源价值两大核心攻坚任务。“十四五”时期，全市产业发展根基持续夯实，各项核心经济指标稳步攀升，牧业、能源、生态、文旅四大优势经济协同发展格局初步成型。2025年，全市清洁能源总装机容量达137.68万千瓦（其中光伏99.25万千瓦、风电30.75万千瓦、水电7.68万千瓦），全年上网发电量11.21亿千瓦时，同比增长39.49%，清洁能源规模化开发格局基本形成；依托独一无二极地风光与原生游牧民俗资源，文旅产业保持高速增长态势，全年接待游客294.35万人次、实现旅游总收入9.57亿元，</w:t>
      </w:r>
      <w:bookmarkStart w:id="6" w:name="OLE_LINK31"/>
      <w:r>
        <w:rPr>
          <w:rFonts w:hint="eastAsia" w:ascii="Times New Roman" w:hAnsi="Times New Roman" w:eastAsia="方正仿宋简体" w:cs="方正仿宋简体"/>
          <w:sz w:val="32"/>
          <w:szCs w:val="32"/>
          <w:lang w:val="en-US" w:eastAsia="zh-CN"/>
        </w:rPr>
        <w:t>同比分别增长34.34%</w:t>
      </w:r>
      <w:bookmarkEnd w:id="6"/>
      <w:r>
        <w:rPr>
          <w:rFonts w:hint="eastAsia" w:ascii="Times New Roman" w:hAnsi="Times New Roman" w:eastAsia="方正仿宋简体" w:cs="方正仿宋简体"/>
          <w:sz w:val="32"/>
          <w:szCs w:val="32"/>
          <w:lang w:val="en-US" w:eastAsia="zh-CN"/>
        </w:rPr>
        <w:t>和31.9%，成为消费拉动扩容、吸纳群众就近就业的重要增长极；</w:t>
      </w:r>
      <w:bookmarkStart w:id="7" w:name="OLE_LINK5"/>
      <w:r>
        <w:rPr>
          <w:rFonts w:hint="eastAsia" w:ascii="Times New Roman" w:hAnsi="Times New Roman" w:eastAsia="方正仿宋简体" w:cs="方正仿宋简体"/>
          <w:sz w:val="32"/>
          <w:szCs w:val="32"/>
          <w:lang w:val="en-US" w:eastAsia="zh-CN"/>
        </w:rPr>
        <w:t>高原特色畜牧业稳产提质，全年肉产量10.59万吨，同比增长5.3%，奶产量（生牛奶不含羊乳）9.01万吨，同比增长8.04%，基础保障支撑作用持续凸显。</w:t>
      </w:r>
    </w:p>
    <w:bookmarkEnd w:id="7"/>
    <w:p w14:paraId="67632692">
      <w:pPr>
        <w:pStyle w:val="8"/>
        <w:topLinePunct/>
        <w:autoSpaceDE/>
        <w:autoSpaceDN/>
        <w:spacing w:before="0" w:line="576" w:lineRule="exact"/>
        <w:ind w:left="0" w:firstLine="640" w:firstLineChars="200"/>
        <w:jc w:val="both"/>
        <w:rPr>
          <w:rFonts w:hint="eastAsia" w:ascii="Times New Roman" w:hAnsi="Times New Roman" w:eastAsia="方正仿宋简体" w:cs="方正仿宋简体"/>
          <w:sz w:val="32"/>
          <w:szCs w:val="32"/>
          <w:lang w:val="en-US" w:eastAsia="zh-CN"/>
        </w:rPr>
      </w:pPr>
      <w:r>
        <w:rPr>
          <w:rFonts w:hint="eastAsia" w:ascii="Times New Roman" w:hAnsi="Times New Roman" w:eastAsia="方正仿宋简体" w:cs="方正仿宋简体"/>
          <w:sz w:val="32"/>
          <w:szCs w:val="32"/>
          <w:lang w:val="en-US" w:eastAsia="zh-CN"/>
        </w:rPr>
        <w:t>对照高原经济高质量发展要求，</w:t>
      </w:r>
      <w:bookmarkStart w:id="8" w:name="OLE_LINK17"/>
      <w:r>
        <w:rPr>
          <w:rFonts w:hint="eastAsia" w:ascii="Times New Roman" w:hAnsi="Times New Roman" w:eastAsia="方正仿宋简体" w:cs="方正仿宋简体"/>
          <w:sz w:val="32"/>
          <w:szCs w:val="32"/>
          <w:lang w:val="en-US" w:eastAsia="zh-CN"/>
        </w:rPr>
        <w:t>那曲市产业发展深层次结构性矛盾、</w:t>
      </w:r>
      <w:bookmarkEnd w:id="8"/>
      <w:r>
        <w:rPr>
          <w:rFonts w:hint="eastAsia" w:ascii="Times New Roman" w:hAnsi="Times New Roman" w:eastAsia="方正仿宋简体" w:cs="方正仿宋简体"/>
          <w:sz w:val="32"/>
          <w:szCs w:val="32"/>
          <w:lang w:val="en-US" w:eastAsia="zh-CN"/>
        </w:rPr>
        <w:t>资源转化堵点仍较为突出，集中体现为资源禀赋优势向经济发展优势转化不充分，传统产业升级滞后、新兴产业培育不足双重矛盾叠加。从传统产业维度看，</w:t>
      </w:r>
      <w:bookmarkStart w:id="9" w:name="OLE_LINK23"/>
      <w:r>
        <w:rPr>
          <w:rFonts w:hint="eastAsia" w:ascii="Times New Roman" w:hAnsi="Times New Roman" w:eastAsia="方正仿宋简体" w:cs="方正仿宋简体"/>
          <w:sz w:val="32"/>
          <w:szCs w:val="32"/>
          <w:lang w:val="en-US" w:eastAsia="zh-CN"/>
        </w:rPr>
        <w:t>全市拥有可利用草场4.48亿亩，</w:t>
      </w:r>
      <w:bookmarkEnd w:id="9"/>
      <w:r>
        <w:rPr>
          <w:rFonts w:hint="eastAsia" w:ascii="Times New Roman" w:hAnsi="Times New Roman" w:eastAsia="方正仿宋简体" w:cs="方正仿宋简体"/>
          <w:sz w:val="32"/>
          <w:szCs w:val="32"/>
          <w:lang w:val="en-US" w:eastAsia="zh-CN"/>
        </w:rPr>
        <w:t>占全区可利用草场总面</w:t>
      </w:r>
      <w:r>
        <w:rPr>
          <w:rFonts w:hint="eastAsia" w:ascii="Times New Roman" w:hAnsi="Times New Roman" w:eastAsia="方正仿宋简体" w:cs="方正仿宋简体"/>
          <w:sz w:val="32"/>
          <w:szCs w:val="32"/>
          <w:lang w:eastAsia="zh-CN"/>
        </w:rPr>
        <w:t>积约40.5%</w:t>
      </w:r>
      <w:r>
        <w:rPr>
          <w:rFonts w:hint="eastAsia" w:ascii="Times New Roman" w:hAnsi="Times New Roman" w:eastAsia="方正仿宋简体" w:cs="方正仿宋简体"/>
          <w:sz w:val="32"/>
          <w:szCs w:val="32"/>
          <w:lang w:val="en-US" w:eastAsia="zh-CN"/>
        </w:rPr>
        <w:t>，娘亚牦牛、多玛绵羊等本土优良种质资源富集，但产业链长期停留在活体、生鲜初级原料输出环节，畜产品同质化问题突出，精深加工产能短缺，市场品牌运营能力偏弱，低附加值原料无序竞争、资源综合利用率偏低，优质草场与优良种质价值未能充分释放。从清洁能源产业维度看，那曲市风光水、抽水蓄能资源储量位居全区前列，但区域骨干外送电网联络通道薄弱，本地消纳空间有限，上下游配套产业培育不足，产业集群效应未能充分显现，坐拥优质绿色能源资源却存在“发得出、送不走、用不足”突出难题，亟需系统统筹、精准施策破解资源转化梗阻。</w:t>
      </w:r>
    </w:p>
    <w:p w14:paraId="61CB98B0">
      <w:pPr>
        <w:pStyle w:val="8"/>
        <w:topLinePunct/>
        <w:autoSpaceDE/>
        <w:autoSpaceDN/>
        <w:spacing w:before="0" w:line="576" w:lineRule="exact"/>
        <w:ind w:left="0" w:firstLine="640" w:firstLineChars="200"/>
        <w:jc w:val="both"/>
        <w:rPr>
          <w:rFonts w:hint="eastAsia" w:ascii="Times New Roman" w:hAnsi="Times New Roman" w:eastAsia="方正仿宋简体" w:cs="方正仿宋简体"/>
          <w:sz w:val="32"/>
          <w:szCs w:val="32"/>
          <w:lang w:val="en-US" w:eastAsia="zh-CN"/>
        </w:rPr>
      </w:pPr>
      <w:bookmarkStart w:id="10" w:name="OLE_LINK35"/>
      <w:r>
        <w:rPr>
          <w:rFonts w:hint="eastAsia" w:ascii="Times New Roman" w:hAnsi="Times New Roman" w:eastAsia="方正仿宋简体" w:cs="方正仿宋简体"/>
          <w:sz w:val="32"/>
          <w:szCs w:val="32"/>
          <w:lang w:val="en-US" w:eastAsia="zh-CN"/>
        </w:rPr>
        <w:t>从区域协同发展格局研判，省际、区内产业竞争日趋白热化，青海、川西、滇北同类高原地区同步布局畜牧、文旅、清洁能源赛道，区内拉萨、日喀则依托成熟产业链、完善配套形成要素虹吸效应，那曲市原有资源比较优势持续弱化。与此同时，特色产业市场价值已得到市场充分印证：2025年，</w:t>
      </w:r>
      <w:r>
        <w:rPr>
          <w:rFonts w:hint="eastAsia" w:ascii="Times New Roman" w:hAnsi="Times New Roman" w:eastAsia="方正仿宋简体" w:cs="方正仿宋简体"/>
          <w:sz w:val="32"/>
          <w:szCs w:val="32"/>
          <w:lang w:eastAsia="zh-CN"/>
        </w:rPr>
        <w:t>色尼区嘎尔德依托牦牛资源发展牦牛奶深加工产业，构建“龙头企业+合作社+家庭牧场+牧户”联动模式，牦牛奶制品销往区内外多个城市，持续拓宽高原畜牧产品市场化路径；嘉黎县娘亚牦牛持续推进良种繁育与产品开发，娘亚牦牛肉系列产品进入区内高端商超与线上电商平台，高原特色牦牛种质资源价值持续释放；</w:t>
      </w:r>
      <w:r>
        <w:rPr>
          <w:rFonts w:hint="eastAsia" w:ascii="Times New Roman" w:hAnsi="Times New Roman" w:eastAsia="方正仿宋简体" w:cs="方正仿宋简体"/>
          <w:sz w:val="32"/>
          <w:szCs w:val="32"/>
          <w:lang w:val="en-US" w:eastAsia="zh-CN"/>
        </w:rPr>
        <w:t>尼玛县白绒特色制品亮相杭州国际博览会，获得海外客商广泛认可；文部南村依托</w:t>
      </w:r>
      <w:bookmarkStart w:id="11" w:name="OLE_LINK36"/>
      <w:r>
        <w:rPr>
          <w:rFonts w:hint="eastAsia" w:ascii="Times New Roman" w:hAnsi="Times New Roman" w:eastAsia="方正仿宋简体" w:cs="方正仿宋简体"/>
          <w:sz w:val="32"/>
          <w:szCs w:val="32"/>
          <w:lang w:val="en-US" w:eastAsia="zh-CN"/>
        </w:rPr>
        <w:t>当惹雍</w:t>
      </w:r>
      <w:bookmarkEnd w:id="11"/>
      <w:r>
        <w:rPr>
          <w:rFonts w:hint="eastAsia" w:ascii="Times New Roman" w:hAnsi="Times New Roman" w:eastAsia="方正仿宋简体" w:cs="方正仿宋简体"/>
          <w:sz w:val="32"/>
          <w:szCs w:val="32"/>
          <w:lang w:val="en-US" w:eastAsia="zh-CN"/>
        </w:rPr>
        <w:t>错资源打造牧文旅融合业态，实现群众户均增收30余万元，充分证明那曲特色产品、特色业态具备广阔市场空间。</w:t>
      </w:r>
      <w:bookmarkEnd w:id="10"/>
      <w:r>
        <w:rPr>
          <w:rFonts w:hint="eastAsia" w:ascii="Times New Roman" w:hAnsi="Times New Roman" w:eastAsia="方正仿宋简体" w:cs="方正仿宋简体"/>
          <w:sz w:val="32"/>
          <w:szCs w:val="32"/>
          <w:lang w:val="en-US" w:eastAsia="zh-CN"/>
        </w:rPr>
        <w:t>但现阶段全域资源统筹力度不足，跨行业、跨县域产业融合层次较浅，全域公共品牌统筹整合力度偏弱，各县（区）产业布局存在重复建设、同质化布局隐患。在此背景下，编制一套系统化、分层分类、兼具前瞻性与实操性的《目录》，既是全面衔接国家、自治区“十五五”产业战略部署、落地那曲市“五地”建设发展总路径的关键衔接载体，也是系统梳理产业家底、补齐发展短板、统筹要素集聚、规范项目准入的基础性制度安排。通过科学划定各产业发展赛道、明晰层级定位，引导资金、技术、人才各类优质要素向高附加值、高富民效益环节集中，推动全市特色产业由粗放规模扩张转向提质增效、品牌化发展，为深度参与区域产业协作、争取上级政策与重大项目倾斜提供坚实支撑。</w:t>
      </w:r>
    </w:p>
    <w:p w14:paraId="5AAD761F">
      <w:pPr>
        <w:pStyle w:val="8"/>
        <w:topLinePunct/>
        <w:autoSpaceDE/>
        <w:autoSpaceDN/>
        <w:spacing w:before="0" w:line="576" w:lineRule="exact"/>
        <w:ind w:left="0" w:firstLine="640" w:firstLineChars="200"/>
        <w:jc w:val="both"/>
        <w:outlineLvl w:val="0"/>
        <w:rPr>
          <w:rFonts w:ascii="Times New Roman" w:hAnsi="Times New Roman" w:eastAsia="方正黑体简体" w:cs="方正仿宋简体"/>
          <w:sz w:val="32"/>
          <w:szCs w:val="32"/>
          <w:lang w:val="en-US" w:eastAsia="zh-CN"/>
        </w:rPr>
      </w:pPr>
      <w:bookmarkStart w:id="12" w:name="_Toc243241381"/>
      <w:r>
        <w:rPr>
          <w:rFonts w:hint="eastAsia" w:ascii="Times New Roman" w:hAnsi="Times New Roman" w:eastAsia="方正黑体简体" w:cs="方正仿宋简体"/>
          <w:sz w:val="32"/>
          <w:szCs w:val="32"/>
          <w:lang w:val="en-US" w:eastAsia="zh-CN"/>
        </w:rPr>
        <w:t>二、总体要求</w:t>
      </w:r>
      <w:bookmarkEnd w:id="12"/>
    </w:p>
    <w:p w14:paraId="4B996977">
      <w:pPr>
        <w:pStyle w:val="8"/>
        <w:topLinePunct/>
        <w:autoSpaceDE/>
        <w:autoSpaceDN/>
        <w:spacing w:before="0" w:line="576" w:lineRule="exact"/>
        <w:ind w:left="0" w:firstLine="640" w:firstLineChars="200"/>
        <w:jc w:val="both"/>
        <w:outlineLvl w:val="1"/>
        <w:rPr>
          <w:rFonts w:ascii="Times New Roman" w:hAnsi="Times New Roman" w:eastAsia="方正楷体简体" w:cs="方正仿宋简体"/>
          <w:sz w:val="32"/>
          <w:szCs w:val="32"/>
          <w:lang w:val="en-US" w:eastAsia="zh-CN"/>
        </w:rPr>
      </w:pPr>
      <w:bookmarkStart w:id="13" w:name="_Toc243241382"/>
      <w:bookmarkStart w:id="14" w:name="OLE_LINK37"/>
      <w:r>
        <w:rPr>
          <w:rFonts w:hint="eastAsia" w:ascii="Times New Roman" w:hAnsi="Times New Roman" w:eastAsia="方正楷体简体" w:cs="方正仿宋简体"/>
          <w:sz w:val="32"/>
          <w:szCs w:val="32"/>
          <w:lang w:eastAsia="zh-CN"/>
        </w:rPr>
        <w:t>（</w:t>
      </w:r>
      <w:r>
        <w:rPr>
          <w:rFonts w:hint="eastAsia" w:ascii="Times New Roman" w:hAnsi="Times New Roman" w:eastAsia="方正楷体简体" w:cs="方正仿宋简体"/>
          <w:sz w:val="32"/>
          <w:szCs w:val="32"/>
          <w:lang w:val="en-US" w:eastAsia="zh-CN"/>
        </w:rPr>
        <w:t>一</w:t>
      </w:r>
      <w:r>
        <w:rPr>
          <w:rFonts w:hint="eastAsia" w:ascii="Times New Roman" w:hAnsi="Times New Roman" w:eastAsia="方正楷体简体" w:cs="方正仿宋简体"/>
          <w:sz w:val="32"/>
          <w:szCs w:val="32"/>
          <w:lang w:eastAsia="zh-CN"/>
        </w:rPr>
        <w:t>）</w:t>
      </w:r>
      <w:r>
        <w:rPr>
          <w:rFonts w:hint="eastAsia" w:ascii="Times New Roman" w:hAnsi="Times New Roman" w:eastAsia="方正楷体简体" w:cs="方正仿宋简体"/>
          <w:sz w:val="32"/>
          <w:szCs w:val="32"/>
          <w:lang w:val="en-US" w:eastAsia="zh-CN"/>
        </w:rPr>
        <w:t>指导思想</w:t>
      </w:r>
      <w:bookmarkEnd w:id="13"/>
    </w:p>
    <w:p w14:paraId="576FCAC7">
      <w:pPr>
        <w:pStyle w:val="8"/>
        <w:topLinePunct/>
        <w:autoSpaceDE/>
        <w:autoSpaceDN/>
        <w:spacing w:before="0" w:line="576" w:lineRule="exact"/>
        <w:ind w:left="0" w:firstLine="640" w:firstLineChars="200"/>
        <w:jc w:val="both"/>
        <w:rPr>
          <w:rFonts w:hint="eastAsia" w:ascii="Times New Roman" w:hAnsi="Times New Roman" w:eastAsia="方正仿宋简体" w:cs="方正仿宋简体"/>
          <w:sz w:val="32"/>
          <w:szCs w:val="32"/>
          <w:lang w:eastAsia="zh-CN"/>
        </w:rPr>
      </w:pPr>
      <w:r>
        <w:rPr>
          <w:rFonts w:hint="eastAsia" w:ascii="Times New Roman" w:hAnsi="Times New Roman" w:eastAsia="方正仿宋简体" w:cs="方正仿宋简体"/>
          <w:sz w:val="32"/>
          <w:szCs w:val="32"/>
          <w:lang w:eastAsia="zh-CN"/>
        </w:rPr>
        <w:t>坚持以习近平新时代中国特色社会主义思想为指导，深入贯彻党的二十大和二十届历次全会精神，全面落实习近平总书记关于西藏工作的重要指示和新时代党的治藏方略，落实中央第七次西藏工作座谈会部署要求，认真贯彻自治区第十次党代会、区党委十届历次全会及市第二次党代会、市委二届历次全会精神，牢牢把握“三个赋予一个有利于”总要求，锚定“五地”建设总路径，紧扣“让那曲更有品质”奋斗目标，统筹推进“六个那曲”建设、实施“七个强市”战略，聚焦“四件大事”、聚力“四个创建”，完整准确全面贯彻新发展理念，主动服务融入国家、自治区重大发展战略。立足羌塘高原资源禀赋，严守生态安全底线，以培育发展新质生产力为主线，统筹高水平生态保护和高原高质量发展，推动资源优势转化为发展优势，着力构建适配那曲发展实际、地域特色突出、绿色低碳可持续的现代化特色产业体系，为奋力谱写中国式现代化那曲实践、建设团结富裕文明和谐美丽的社会主义现代化新西藏夯实坚实产业支撑。</w:t>
      </w:r>
    </w:p>
    <w:bookmarkEnd w:id="14"/>
    <w:p w14:paraId="76C3183F">
      <w:pPr>
        <w:pStyle w:val="8"/>
        <w:topLinePunct/>
        <w:autoSpaceDE/>
        <w:autoSpaceDN/>
        <w:spacing w:before="0" w:line="576" w:lineRule="exact"/>
        <w:ind w:left="0" w:firstLine="640" w:firstLineChars="200"/>
        <w:jc w:val="both"/>
        <w:outlineLvl w:val="1"/>
        <w:rPr>
          <w:rFonts w:ascii="Times New Roman" w:hAnsi="Times New Roman" w:eastAsia="方正楷体简体" w:cs="方正仿宋简体"/>
          <w:sz w:val="32"/>
          <w:szCs w:val="32"/>
          <w:lang w:val="en-US" w:eastAsia="zh-CN"/>
        </w:rPr>
      </w:pPr>
      <w:bookmarkStart w:id="15" w:name="_Toc243241383"/>
      <w:r>
        <w:rPr>
          <w:rFonts w:hint="eastAsia" w:ascii="Times New Roman" w:hAnsi="Times New Roman" w:eastAsia="方正楷体简体" w:cs="方正仿宋简体"/>
          <w:sz w:val="32"/>
          <w:szCs w:val="32"/>
          <w:lang w:eastAsia="zh-CN"/>
        </w:rPr>
        <w:t>（</w:t>
      </w:r>
      <w:r>
        <w:rPr>
          <w:rFonts w:hint="eastAsia" w:ascii="Times New Roman" w:hAnsi="Times New Roman" w:eastAsia="方正楷体简体" w:cs="方正仿宋简体"/>
          <w:sz w:val="32"/>
          <w:szCs w:val="32"/>
          <w:lang w:val="en-US" w:eastAsia="zh-CN"/>
        </w:rPr>
        <w:t>二</w:t>
      </w:r>
      <w:r>
        <w:rPr>
          <w:rFonts w:hint="eastAsia" w:ascii="Times New Roman" w:hAnsi="Times New Roman" w:eastAsia="方正楷体简体" w:cs="方正仿宋简体"/>
          <w:sz w:val="32"/>
          <w:szCs w:val="32"/>
          <w:lang w:eastAsia="zh-CN"/>
        </w:rPr>
        <w:t>）</w:t>
      </w:r>
      <w:r>
        <w:rPr>
          <w:rFonts w:hint="eastAsia" w:ascii="Times New Roman" w:hAnsi="Times New Roman" w:eastAsia="方正楷体简体" w:cs="方正仿宋简体"/>
          <w:sz w:val="32"/>
          <w:szCs w:val="32"/>
          <w:lang w:val="en-US" w:eastAsia="zh-CN"/>
        </w:rPr>
        <w:t>目的与意义</w:t>
      </w:r>
      <w:bookmarkEnd w:id="15"/>
    </w:p>
    <w:p w14:paraId="35860E91">
      <w:pPr>
        <w:pStyle w:val="8"/>
        <w:topLinePunct/>
        <w:autoSpaceDE/>
        <w:autoSpaceDN/>
        <w:spacing w:before="0" w:line="576" w:lineRule="exact"/>
        <w:ind w:left="0" w:firstLine="640" w:firstLineChars="200"/>
        <w:jc w:val="both"/>
        <w:rPr>
          <w:rFonts w:hint="eastAsia" w:ascii="Times New Roman" w:hAnsi="Times New Roman" w:eastAsia="方正仿宋简体" w:cs="方正仿宋简体"/>
          <w:sz w:val="32"/>
          <w:szCs w:val="32"/>
          <w:lang w:eastAsia="zh-CN"/>
        </w:rPr>
      </w:pPr>
      <w:r>
        <w:rPr>
          <w:rFonts w:hint="eastAsia" w:ascii="Times New Roman" w:hAnsi="Times New Roman" w:eastAsia="方正仿宋简体" w:cs="方正仿宋简体"/>
          <w:sz w:val="32"/>
          <w:szCs w:val="32"/>
          <w:lang w:eastAsia="zh-CN"/>
        </w:rPr>
        <w:t>1．</w:t>
      </w:r>
      <w:r>
        <w:rPr>
          <w:rFonts w:hint="eastAsia" w:ascii="Times New Roman" w:hAnsi="Times New Roman" w:eastAsia="方正仿宋简体" w:cs="方正仿宋简体"/>
          <w:sz w:val="32"/>
          <w:szCs w:val="32"/>
        </w:rPr>
        <w:t>编制目的</w:t>
      </w:r>
    </w:p>
    <w:p w14:paraId="72E996E1">
      <w:pPr>
        <w:pStyle w:val="8"/>
        <w:topLinePunct/>
        <w:autoSpaceDE/>
        <w:autoSpaceDN/>
        <w:spacing w:before="0" w:line="576" w:lineRule="exact"/>
        <w:ind w:left="0" w:firstLine="640" w:firstLineChars="200"/>
        <w:jc w:val="both"/>
        <w:rPr>
          <w:rFonts w:hint="eastAsia"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本目录依据《那曲市国民经济和社会发展第十五个五年规划纲要》、市委“十五五”规划建议编制。《目录》立足羌塘高原独特资源禀赋、生态承载条件与产业发展现实基础，紧扣自治区、那曲市“十五五”国民经济和社会发展规划部署，锚定</w:t>
      </w:r>
      <w:r>
        <w:rPr>
          <w:rFonts w:hint="eastAsia" w:ascii="Times New Roman" w:hAnsi="Times New Roman" w:eastAsia="方正仿宋简体" w:cs="方正仿宋简体"/>
          <w:sz w:val="32"/>
          <w:szCs w:val="32"/>
          <w:lang w:eastAsia="zh-CN"/>
        </w:rPr>
        <w:t>“</w:t>
      </w:r>
      <w:r>
        <w:rPr>
          <w:rFonts w:hint="eastAsia" w:ascii="Times New Roman" w:hAnsi="Times New Roman" w:eastAsia="方正仿宋简体" w:cs="方正仿宋简体"/>
          <w:sz w:val="32"/>
          <w:szCs w:val="32"/>
        </w:rPr>
        <w:t>五地</w:t>
      </w:r>
      <w:r>
        <w:rPr>
          <w:rFonts w:hint="eastAsia" w:ascii="Times New Roman" w:hAnsi="Times New Roman" w:eastAsia="方正仿宋简体" w:cs="方正仿宋简体"/>
          <w:sz w:val="32"/>
          <w:szCs w:val="32"/>
          <w:lang w:eastAsia="zh-CN"/>
        </w:rPr>
        <w:t>”</w:t>
      </w:r>
      <w:r>
        <w:rPr>
          <w:rFonts w:hint="eastAsia" w:ascii="Times New Roman" w:hAnsi="Times New Roman" w:eastAsia="方正仿宋简体" w:cs="方正仿宋简体"/>
          <w:sz w:val="32"/>
          <w:szCs w:val="32"/>
        </w:rPr>
        <w:t>建设</w:t>
      </w:r>
      <w:r>
        <w:rPr>
          <w:rFonts w:hint="eastAsia" w:ascii="Times New Roman" w:hAnsi="Times New Roman" w:eastAsia="方正仿宋简体" w:cs="方正仿宋简体"/>
          <w:sz w:val="32"/>
          <w:szCs w:val="32"/>
          <w:lang w:val="en-US" w:eastAsia="zh-CN"/>
        </w:rPr>
        <w:t>发展</w:t>
      </w:r>
      <w:r>
        <w:rPr>
          <w:rFonts w:hint="eastAsia" w:ascii="Times New Roman" w:hAnsi="Times New Roman" w:eastAsia="方正仿宋简体" w:cs="方正仿宋简体"/>
          <w:sz w:val="32"/>
          <w:szCs w:val="32"/>
        </w:rPr>
        <w:t>总路径，全面推进“六个那曲</w:t>
      </w:r>
      <w:r>
        <w:rPr>
          <w:rFonts w:hint="eastAsia" w:ascii="Times New Roman" w:hAnsi="Times New Roman" w:eastAsia="方正仿宋简体" w:cs="方正仿宋简体"/>
          <w:sz w:val="32"/>
          <w:szCs w:val="32"/>
          <w:lang w:eastAsia="zh-CN"/>
        </w:rPr>
        <w:t>”</w:t>
      </w:r>
      <w:r>
        <w:rPr>
          <w:rFonts w:hint="eastAsia" w:ascii="Times New Roman" w:hAnsi="Times New Roman" w:eastAsia="方正仿宋简体" w:cs="方正仿宋简体"/>
          <w:sz w:val="32"/>
          <w:szCs w:val="32"/>
        </w:rPr>
        <w:t>建设目标</w:t>
      </w:r>
      <w:bookmarkStart w:id="16" w:name="OLE_LINK39"/>
      <w:r>
        <w:rPr>
          <w:rFonts w:hint="eastAsia" w:ascii="Times New Roman" w:hAnsi="Times New Roman" w:eastAsia="方正仿宋简体" w:cs="方正仿宋简体"/>
          <w:sz w:val="32"/>
          <w:szCs w:val="32"/>
        </w:rPr>
        <w:t>和</w:t>
      </w:r>
      <w:bookmarkEnd w:id="16"/>
      <w:r>
        <w:rPr>
          <w:rFonts w:hint="eastAsia" w:ascii="Times New Roman" w:hAnsi="Times New Roman" w:eastAsia="方正仿宋简体" w:cs="方正仿宋简体"/>
          <w:sz w:val="32"/>
          <w:szCs w:val="32"/>
          <w:lang w:eastAsia="zh-CN"/>
        </w:rPr>
        <w:t>“</w:t>
      </w:r>
      <w:r>
        <w:rPr>
          <w:rFonts w:hint="eastAsia" w:ascii="Times New Roman" w:hAnsi="Times New Roman" w:eastAsia="方正仿宋简体" w:cs="方正仿宋简体"/>
          <w:sz w:val="32"/>
          <w:szCs w:val="32"/>
        </w:rPr>
        <w:t>七个强市</w:t>
      </w:r>
      <w:r>
        <w:rPr>
          <w:rFonts w:hint="eastAsia" w:ascii="Times New Roman" w:hAnsi="Times New Roman" w:eastAsia="方正仿宋简体" w:cs="方正仿宋简体"/>
          <w:sz w:val="32"/>
          <w:szCs w:val="32"/>
          <w:lang w:eastAsia="zh-CN"/>
        </w:rPr>
        <w:t>”</w:t>
      </w:r>
      <w:r>
        <w:rPr>
          <w:rFonts w:hint="eastAsia" w:ascii="Times New Roman" w:hAnsi="Times New Roman" w:eastAsia="方正仿宋简体" w:cs="方正仿宋简体"/>
          <w:sz w:val="32"/>
          <w:szCs w:val="32"/>
        </w:rPr>
        <w:t>战略，系统构建适配藏北高原、彰显</w:t>
      </w:r>
      <w:r>
        <w:rPr>
          <w:rFonts w:hint="eastAsia" w:ascii="Times New Roman" w:hAnsi="Times New Roman" w:eastAsia="方正仿宋简体" w:cs="方正仿宋简体"/>
          <w:sz w:val="32"/>
          <w:szCs w:val="32"/>
          <w:lang w:eastAsia="zh-CN"/>
        </w:rPr>
        <w:t>“</w:t>
      </w:r>
      <w:r>
        <w:rPr>
          <w:rFonts w:hint="eastAsia" w:ascii="Times New Roman" w:hAnsi="Times New Roman" w:eastAsia="方正仿宋简体" w:cs="方正仿宋简体"/>
          <w:sz w:val="32"/>
          <w:szCs w:val="32"/>
        </w:rPr>
        <w:t>极地那曲</w:t>
      </w:r>
      <w:r>
        <w:rPr>
          <w:rFonts w:hint="eastAsia" w:ascii="Times New Roman" w:hAnsi="Times New Roman" w:eastAsia="方正仿宋简体" w:cs="方正仿宋简体"/>
          <w:sz w:val="32"/>
          <w:szCs w:val="32"/>
          <w:lang w:eastAsia="zh-CN"/>
        </w:rPr>
        <w:t>”</w:t>
      </w:r>
      <w:r>
        <w:rPr>
          <w:rFonts w:hint="eastAsia" w:ascii="Times New Roman" w:hAnsi="Times New Roman" w:eastAsia="方正仿宋简体" w:cs="方正仿宋简体"/>
          <w:sz w:val="32"/>
          <w:szCs w:val="32"/>
        </w:rPr>
        <w:t>辨识度的特色产业发展体系，打通资源禀赋、生态优势向经济优势、民生优势转化完整通道。</w:t>
      </w:r>
      <w:r>
        <w:rPr>
          <w:rFonts w:hint="eastAsia" w:ascii="Times New Roman" w:hAnsi="Times New Roman" w:eastAsia="方正仿宋简体" w:cs="方正仿宋简体"/>
          <w:b/>
          <w:bCs/>
          <w:sz w:val="32"/>
          <w:szCs w:val="32"/>
        </w:rPr>
        <w:t>一是</w:t>
      </w:r>
      <w:r>
        <w:rPr>
          <w:rFonts w:hint="eastAsia" w:ascii="Times New Roman" w:hAnsi="Times New Roman" w:eastAsia="方正仿宋简体" w:cs="方正仿宋简体"/>
          <w:sz w:val="32"/>
          <w:szCs w:val="32"/>
        </w:rPr>
        <w:t>上下衔接统筹对标，全面对接自治区九大产业布局框架，对齐市级产业发展专项规划，为全市</w:t>
      </w:r>
      <w:r>
        <w:rPr>
          <w:rFonts w:hint="eastAsia" w:ascii="Times New Roman" w:hAnsi="Times New Roman" w:eastAsia="方正仿宋简体" w:cs="方正仿宋简体"/>
          <w:sz w:val="32"/>
          <w:szCs w:val="32"/>
          <w:lang w:eastAsia="zh-CN"/>
        </w:rPr>
        <w:t>“</w:t>
      </w:r>
      <w:r>
        <w:rPr>
          <w:rFonts w:hint="eastAsia" w:ascii="Times New Roman" w:hAnsi="Times New Roman" w:eastAsia="方正仿宋简体" w:cs="方正仿宋简体"/>
          <w:sz w:val="32"/>
          <w:szCs w:val="32"/>
        </w:rPr>
        <w:t>十五五</w:t>
      </w:r>
      <w:r>
        <w:rPr>
          <w:rFonts w:hint="eastAsia" w:ascii="Times New Roman" w:hAnsi="Times New Roman" w:eastAsia="方正仿宋简体" w:cs="方正仿宋简体"/>
          <w:sz w:val="32"/>
          <w:szCs w:val="32"/>
          <w:lang w:eastAsia="zh-CN"/>
        </w:rPr>
        <w:t>”</w:t>
      </w:r>
      <w:r>
        <w:rPr>
          <w:rFonts w:hint="eastAsia" w:ascii="Times New Roman" w:hAnsi="Times New Roman" w:eastAsia="方正仿宋简体" w:cs="方正仿宋简体"/>
          <w:sz w:val="32"/>
          <w:szCs w:val="32"/>
        </w:rPr>
        <w:t>阶段产业谋划、项目布局提供统一产业指引，夯实高原全链条产业发展根基；</w:t>
      </w:r>
      <w:r>
        <w:rPr>
          <w:rFonts w:hint="eastAsia" w:ascii="Times New Roman" w:hAnsi="Times New Roman" w:eastAsia="方正仿宋简体" w:cs="方正仿宋简体"/>
          <w:b/>
          <w:bCs/>
          <w:sz w:val="32"/>
          <w:szCs w:val="32"/>
        </w:rPr>
        <w:t>二是</w:t>
      </w:r>
      <w:r>
        <w:rPr>
          <w:rFonts w:hint="eastAsia" w:ascii="Times New Roman" w:hAnsi="Times New Roman" w:eastAsia="方正仿宋简体" w:cs="方正仿宋简体"/>
          <w:sz w:val="32"/>
          <w:szCs w:val="32"/>
        </w:rPr>
        <w:t>健全产业标准体系，统筹建立高原农畜产品、道地藏药材全流程质量安全追溯机制，配套完善产地认定、标准化生产、品质分级制度，统一运营</w:t>
      </w:r>
      <w:r>
        <w:rPr>
          <w:rFonts w:hint="eastAsia" w:ascii="Times New Roman" w:hAnsi="Times New Roman" w:eastAsia="方正仿宋简体" w:cs="方正仿宋简体"/>
          <w:sz w:val="32"/>
          <w:szCs w:val="32"/>
          <w:lang w:eastAsia="zh-CN"/>
        </w:rPr>
        <w:t>“</w:t>
      </w:r>
      <w:r>
        <w:rPr>
          <w:rFonts w:hint="eastAsia" w:ascii="Times New Roman" w:hAnsi="Times New Roman" w:eastAsia="方正仿宋简体" w:cs="方正仿宋简体"/>
          <w:sz w:val="32"/>
          <w:szCs w:val="32"/>
        </w:rPr>
        <w:t>极地那曲</w:t>
      </w:r>
      <w:r>
        <w:rPr>
          <w:rFonts w:hint="eastAsia" w:ascii="Times New Roman" w:hAnsi="Times New Roman" w:eastAsia="方正仿宋简体" w:cs="方正仿宋简体"/>
          <w:sz w:val="32"/>
          <w:szCs w:val="32"/>
          <w:lang w:eastAsia="zh-CN"/>
        </w:rPr>
        <w:t>”</w:t>
      </w:r>
      <w:r>
        <w:rPr>
          <w:rFonts w:hint="eastAsia" w:ascii="Times New Roman" w:hAnsi="Times New Roman" w:eastAsia="方正仿宋简体" w:cs="方正仿宋简体"/>
          <w:sz w:val="32"/>
          <w:szCs w:val="32"/>
        </w:rPr>
        <w:t>区域公共品牌，持续提升全域特色产品市场溢价与品牌影响力</w:t>
      </w:r>
      <w:r>
        <w:rPr>
          <w:rFonts w:hint="eastAsia" w:ascii="Times New Roman" w:hAnsi="Times New Roman" w:eastAsia="方正仿宋简体" w:cs="方正仿宋简体"/>
          <w:sz w:val="32"/>
          <w:szCs w:val="32"/>
          <w:lang w:eastAsia="zh-CN"/>
        </w:rPr>
        <w:t>；</w:t>
      </w:r>
      <w:r>
        <w:rPr>
          <w:rFonts w:hint="eastAsia" w:ascii="Times New Roman" w:hAnsi="Times New Roman" w:eastAsia="方正仿宋简体" w:cs="方正仿宋简体"/>
          <w:b/>
          <w:bCs/>
          <w:sz w:val="32"/>
          <w:szCs w:val="32"/>
        </w:rPr>
        <w:t>三是</w:t>
      </w:r>
      <w:r>
        <w:rPr>
          <w:rFonts w:hint="eastAsia" w:ascii="Times New Roman" w:hAnsi="Times New Roman" w:eastAsia="方正仿宋简体" w:cs="方正仿宋简体"/>
          <w:sz w:val="32"/>
          <w:szCs w:val="32"/>
        </w:rPr>
        <w:t>规范产业发展秩序，清晰划定基础产业、支柱产业、潜力产业、新兴战略产业发展边界，统筹全域土地、能源、资金、人才等要素配置，引导各县（区）错位布局，从源头规避同质化重复建设、低端无序竞争</w:t>
      </w:r>
      <w:r>
        <w:rPr>
          <w:rFonts w:hint="eastAsia" w:ascii="Times New Roman" w:hAnsi="Times New Roman" w:eastAsia="方正仿宋简体" w:cs="方正仿宋简体"/>
          <w:sz w:val="32"/>
          <w:szCs w:val="32"/>
          <w:lang w:eastAsia="zh-CN"/>
        </w:rPr>
        <w:t>；</w:t>
      </w:r>
      <w:r>
        <w:rPr>
          <w:rFonts w:hint="eastAsia" w:ascii="Times New Roman" w:hAnsi="Times New Roman" w:eastAsia="方正仿宋简体" w:cs="方正仿宋简体"/>
          <w:b/>
          <w:bCs/>
          <w:sz w:val="32"/>
          <w:szCs w:val="32"/>
        </w:rPr>
        <w:t>四是</w:t>
      </w:r>
      <w:r>
        <w:rPr>
          <w:rFonts w:hint="eastAsia" w:ascii="Times New Roman" w:hAnsi="Times New Roman" w:eastAsia="方正仿宋简体" w:cs="方正仿宋简体"/>
          <w:sz w:val="32"/>
          <w:szCs w:val="32"/>
        </w:rPr>
        <w:t>拓宽富民增收渠道，完善</w:t>
      </w:r>
      <w:r>
        <w:rPr>
          <w:rFonts w:hint="eastAsia" w:ascii="Times New Roman" w:hAnsi="Times New Roman" w:eastAsia="方正仿宋简体" w:cs="方正仿宋简体"/>
          <w:sz w:val="32"/>
          <w:szCs w:val="32"/>
          <w:lang w:eastAsia="zh-CN"/>
        </w:rPr>
        <w:t>“</w:t>
      </w:r>
      <w:r>
        <w:rPr>
          <w:rFonts w:hint="eastAsia" w:ascii="Times New Roman" w:hAnsi="Times New Roman" w:eastAsia="方正仿宋简体" w:cs="方正仿宋简体"/>
          <w:sz w:val="32"/>
          <w:szCs w:val="32"/>
        </w:rPr>
        <w:t>龙头企业+合作社</w:t>
      </w:r>
      <w:r>
        <w:rPr>
          <w:rFonts w:hint="eastAsia" w:ascii="Times New Roman" w:hAnsi="Times New Roman" w:eastAsia="方正仿宋简体" w:cs="方正仿宋简体"/>
          <w:sz w:val="32"/>
          <w:szCs w:val="32"/>
          <w:lang w:eastAsia="zh-CN"/>
        </w:rPr>
        <w:t>+</w:t>
      </w:r>
      <w:r>
        <w:rPr>
          <w:rFonts w:hint="eastAsia" w:ascii="Times New Roman" w:hAnsi="Times New Roman" w:eastAsia="方正仿宋简体" w:cs="方正仿宋简体"/>
          <w:sz w:val="32"/>
          <w:szCs w:val="32"/>
        </w:rPr>
        <w:t>农牧户</w:t>
      </w:r>
      <w:r>
        <w:rPr>
          <w:rFonts w:hint="eastAsia" w:ascii="Times New Roman" w:hAnsi="Times New Roman" w:eastAsia="方正仿宋简体" w:cs="方正仿宋简体"/>
          <w:sz w:val="32"/>
          <w:szCs w:val="32"/>
          <w:lang w:eastAsia="zh-CN"/>
        </w:rPr>
        <w:t>”</w:t>
      </w:r>
      <w:r>
        <w:rPr>
          <w:rFonts w:hint="eastAsia" w:ascii="Times New Roman" w:hAnsi="Times New Roman" w:eastAsia="方正仿宋简体" w:cs="方正仿宋简体"/>
          <w:sz w:val="32"/>
          <w:szCs w:val="32"/>
        </w:rPr>
        <w:t>紧密型利益联结机制，持续拓宽群众经营性、财产性、劳务多元增收路径，夯实共同富裕产业底盘</w:t>
      </w:r>
      <w:r>
        <w:rPr>
          <w:rFonts w:hint="eastAsia" w:ascii="Times New Roman" w:hAnsi="Times New Roman" w:eastAsia="方正仿宋简体" w:cs="方正仿宋简体"/>
          <w:sz w:val="32"/>
          <w:szCs w:val="32"/>
          <w:lang w:eastAsia="zh-CN"/>
        </w:rPr>
        <w:t>；</w:t>
      </w:r>
      <w:r>
        <w:rPr>
          <w:rFonts w:hint="eastAsia" w:ascii="Times New Roman" w:hAnsi="Times New Roman" w:eastAsia="方正仿宋简体" w:cs="方正仿宋简体"/>
          <w:b/>
          <w:bCs/>
          <w:sz w:val="32"/>
          <w:szCs w:val="32"/>
        </w:rPr>
        <w:t>五是</w:t>
      </w:r>
      <w:r>
        <w:rPr>
          <w:rFonts w:hint="eastAsia" w:ascii="Times New Roman" w:hAnsi="Times New Roman" w:eastAsia="方正仿宋简体" w:cs="方正仿宋简体"/>
          <w:sz w:val="32"/>
          <w:szCs w:val="32"/>
        </w:rPr>
        <w:t>统一政策项目标尺，作为全市产业扶持资金投放、产业项目准入评审、招商引资洽谈、生产要素指标分配的法定权威依据，指导各级各部门精准施策、各类市场主体规范投资，走出一条生态优先、生产发展、生活富裕的高原特色现代化发展道路，为那曲长治久安和高质量发展筑牢坚实产业根基。</w:t>
      </w:r>
    </w:p>
    <w:p w14:paraId="064E3D83">
      <w:pPr>
        <w:pStyle w:val="8"/>
        <w:topLinePunct/>
        <w:autoSpaceDE/>
        <w:autoSpaceDN/>
        <w:spacing w:before="0" w:line="576" w:lineRule="exact"/>
        <w:ind w:left="0" w:firstLine="640" w:firstLineChars="200"/>
        <w:jc w:val="both"/>
        <w:rPr>
          <w:rFonts w:hint="eastAsia" w:ascii="Times New Roman" w:hAnsi="Times New Roman" w:eastAsia="方正仿宋简体" w:cs="方正仿宋简体"/>
          <w:sz w:val="32"/>
          <w:szCs w:val="32"/>
          <w:lang w:eastAsia="zh-CN"/>
        </w:rPr>
      </w:pPr>
      <w:r>
        <w:rPr>
          <w:rFonts w:hint="eastAsia" w:ascii="Times New Roman" w:hAnsi="Times New Roman" w:eastAsia="方正仿宋简体" w:cs="方正仿宋简体"/>
          <w:sz w:val="32"/>
          <w:szCs w:val="32"/>
          <w:lang w:eastAsia="zh-CN"/>
        </w:rPr>
        <w:t>2．</w:t>
      </w:r>
      <w:r>
        <w:rPr>
          <w:rFonts w:hint="eastAsia" w:ascii="Times New Roman" w:hAnsi="Times New Roman" w:eastAsia="方正仿宋简体" w:cs="方正仿宋简体"/>
          <w:sz w:val="32"/>
          <w:szCs w:val="32"/>
        </w:rPr>
        <w:t>编制目录的意义</w:t>
      </w:r>
    </w:p>
    <w:p w14:paraId="029A832A">
      <w:pPr>
        <w:pStyle w:val="8"/>
        <w:topLinePunct/>
        <w:autoSpaceDE/>
        <w:autoSpaceDN/>
        <w:spacing w:before="0" w:line="576" w:lineRule="exact"/>
        <w:ind w:left="0" w:firstLine="640" w:firstLineChars="200"/>
        <w:jc w:val="both"/>
        <w:rPr>
          <w:rFonts w:hint="eastAsia"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编制实施《目录》兼具战略价值、实操价值、长远价值，是统筹发展和安全、生态保护与产业富民的基础性制度安排，集中体现为四大核心意义。</w:t>
      </w:r>
      <w:bookmarkStart w:id="17" w:name="OLE_LINK40"/>
      <w:r>
        <w:rPr>
          <w:rFonts w:hint="eastAsia" w:ascii="Times New Roman" w:hAnsi="Times New Roman" w:eastAsia="方正仿宋简体" w:cs="方正仿宋简体"/>
          <w:b/>
          <w:bCs/>
          <w:sz w:val="32"/>
          <w:szCs w:val="32"/>
        </w:rPr>
        <w:t>一是</w:t>
      </w:r>
      <w:r>
        <w:rPr>
          <w:rFonts w:hint="eastAsia" w:ascii="Times New Roman" w:hAnsi="Times New Roman" w:eastAsia="方正仿宋简体" w:cs="方正仿宋简体"/>
          <w:sz w:val="32"/>
          <w:szCs w:val="32"/>
        </w:rPr>
        <w:t>精准厘清资源禀赋，锚定产业主攻赛道。系统梳理全市高原畜牧、风光清洁能源、道地藏药材、极地生态文旅、盐湖战略矿产、高原低空经济、高寒绿色算力等独有稀缺资源，分层分类明确各产业定位、发展层级与培育重点，破解产业发展方向模糊、布局散乱难题，把不可复制的高原资源转化为可持续市场竞争优势</w:t>
      </w:r>
      <w:r>
        <w:rPr>
          <w:rFonts w:hint="eastAsia" w:ascii="Times New Roman" w:hAnsi="Times New Roman" w:eastAsia="方正仿宋简体" w:cs="方正仿宋简体"/>
          <w:sz w:val="32"/>
          <w:szCs w:val="32"/>
          <w:lang w:eastAsia="zh-CN"/>
        </w:rPr>
        <w:t>；</w:t>
      </w:r>
      <w:bookmarkEnd w:id="17"/>
      <w:r>
        <w:rPr>
          <w:rFonts w:hint="eastAsia" w:ascii="Times New Roman" w:hAnsi="Times New Roman" w:eastAsia="方正仿宋简体" w:cs="方正仿宋简体"/>
          <w:b/>
          <w:bCs/>
          <w:sz w:val="32"/>
          <w:szCs w:val="32"/>
        </w:rPr>
        <w:t>二是</w:t>
      </w:r>
      <w:r>
        <w:rPr>
          <w:rFonts w:hint="eastAsia" w:ascii="Times New Roman" w:hAnsi="Times New Roman" w:eastAsia="方正仿宋简体" w:cs="方正仿宋简体"/>
          <w:sz w:val="32"/>
          <w:szCs w:val="32"/>
        </w:rPr>
        <w:t>引导要素精准滴灌，提升资源配置效能。为各级财政资金、对口援藏资金、金融信贷、建设用地、专业人才投放划定清晰投向。同步为市场主体投资兴业提供清晰产业图谱，降低企业研判成本，推动优质要素向高附加值、高富民、低生态扰动产业链环节集聚，全面提升各类资源综合利用效率</w:t>
      </w:r>
      <w:r>
        <w:rPr>
          <w:rFonts w:hint="eastAsia" w:ascii="Times New Roman" w:hAnsi="Times New Roman" w:eastAsia="方正仿宋简体" w:cs="方正仿宋简体"/>
          <w:sz w:val="32"/>
          <w:szCs w:val="32"/>
          <w:lang w:eastAsia="zh-CN"/>
        </w:rPr>
        <w:t>；</w:t>
      </w:r>
      <w:r>
        <w:rPr>
          <w:rFonts w:hint="eastAsia" w:ascii="Times New Roman" w:hAnsi="Times New Roman" w:eastAsia="方正仿宋简体" w:cs="方正仿宋简体"/>
          <w:b/>
          <w:bCs/>
          <w:sz w:val="32"/>
          <w:szCs w:val="32"/>
        </w:rPr>
        <w:t>三是</w:t>
      </w:r>
      <w:r>
        <w:rPr>
          <w:rFonts w:hint="eastAsia" w:ascii="Times New Roman" w:hAnsi="Times New Roman" w:eastAsia="方正仿宋简体" w:cs="方正仿宋简体"/>
          <w:sz w:val="32"/>
          <w:szCs w:val="32"/>
        </w:rPr>
        <w:t>严守生态刚性底线，支撑绿色可持续发展。严格对标</w:t>
      </w:r>
      <w:r>
        <w:rPr>
          <w:rFonts w:hint="eastAsia" w:ascii="Times New Roman" w:hAnsi="Times New Roman" w:eastAsia="方正仿宋简体" w:cs="方正仿宋简体"/>
          <w:sz w:val="32"/>
          <w:szCs w:val="32"/>
          <w:lang w:val="en-US" w:eastAsia="zh-CN"/>
        </w:rPr>
        <w:t>《中华人民共和国青藏高原生态保护法》</w:t>
      </w:r>
      <w:r>
        <w:rPr>
          <w:rFonts w:hint="eastAsia" w:ascii="Times New Roman" w:hAnsi="Times New Roman" w:eastAsia="方正仿宋简体" w:cs="方正仿宋简体"/>
          <w:sz w:val="32"/>
          <w:szCs w:val="32"/>
        </w:rPr>
        <w:t>及全市</w:t>
      </w:r>
      <w:r>
        <w:rPr>
          <w:rFonts w:hint="eastAsia" w:ascii="Times New Roman" w:hAnsi="Times New Roman" w:eastAsia="方正仿宋简体" w:cs="方正仿宋简体"/>
          <w:sz w:val="32"/>
          <w:szCs w:val="32"/>
          <w:lang w:eastAsia="zh-CN"/>
        </w:rPr>
        <w:t>“</w:t>
      </w:r>
      <w:r>
        <w:rPr>
          <w:rFonts w:hint="eastAsia" w:ascii="Times New Roman" w:hAnsi="Times New Roman" w:eastAsia="方正仿宋简体" w:cs="方正仿宋简体"/>
          <w:sz w:val="32"/>
          <w:szCs w:val="32"/>
        </w:rPr>
        <w:t>三区三线</w:t>
      </w:r>
      <w:r>
        <w:rPr>
          <w:rFonts w:hint="eastAsia" w:ascii="Times New Roman" w:hAnsi="Times New Roman" w:eastAsia="方正仿宋简体" w:cs="方正仿宋简体"/>
          <w:sz w:val="32"/>
          <w:szCs w:val="32"/>
          <w:lang w:eastAsia="zh-CN"/>
        </w:rPr>
        <w:t>”</w:t>
      </w:r>
      <w:r>
        <w:rPr>
          <w:rFonts w:hint="eastAsia" w:ascii="Times New Roman" w:hAnsi="Times New Roman" w:eastAsia="方正仿宋简体" w:cs="方正仿宋简体"/>
          <w:sz w:val="32"/>
          <w:szCs w:val="32"/>
        </w:rPr>
        <w:t>管控要求，分产业明确生态准入门槛、开发管控强度与修复配套标准，优先布局生态增值型产业，构建开发、保护、修复一体化发展模式，实现高原生态保护与产业发展动态平衡、互利共生；</w:t>
      </w:r>
      <w:r>
        <w:rPr>
          <w:rFonts w:hint="eastAsia" w:ascii="Times New Roman" w:hAnsi="Times New Roman" w:eastAsia="方正仿宋简体" w:cs="方正仿宋简体"/>
          <w:b/>
          <w:bCs/>
          <w:sz w:val="32"/>
          <w:szCs w:val="32"/>
        </w:rPr>
        <w:t>四是</w:t>
      </w:r>
      <w:r>
        <w:rPr>
          <w:rFonts w:hint="eastAsia" w:ascii="Times New Roman" w:hAnsi="Times New Roman" w:eastAsia="方正仿宋简体" w:cs="方正仿宋简体"/>
          <w:sz w:val="32"/>
          <w:szCs w:val="32"/>
        </w:rPr>
        <w:t>统一产业评判标准，健全全周期实施体系。《目录》作为全市产业项目入库、政策倾斜、园区布局、对外招商统一参照标尺，形成从资源摸排、项目策划、落地培育、动态调整全链条工作指引，补齐以往产业规划碎片化、政策分散化短板，为争取上级重大产业项目、专项政策、专项资金提供系统支撑。</w:t>
      </w:r>
    </w:p>
    <w:p w14:paraId="7CA69B0D">
      <w:pPr>
        <w:pStyle w:val="8"/>
        <w:topLinePunct/>
        <w:autoSpaceDE/>
        <w:autoSpaceDN/>
        <w:spacing w:before="0" w:line="576" w:lineRule="exact"/>
        <w:ind w:left="0" w:firstLine="640" w:firstLineChars="200"/>
        <w:jc w:val="both"/>
        <w:outlineLvl w:val="0"/>
        <w:rPr>
          <w:rFonts w:ascii="Times New Roman" w:hAnsi="Times New Roman" w:eastAsia="方正黑体简体" w:cs="方正仿宋简体"/>
          <w:sz w:val="32"/>
          <w:szCs w:val="32"/>
          <w:lang w:val="en-US" w:eastAsia="zh-CN"/>
        </w:rPr>
      </w:pPr>
      <w:bookmarkStart w:id="18" w:name="_Toc243241384"/>
      <w:r>
        <w:rPr>
          <w:rFonts w:hint="eastAsia" w:ascii="Times New Roman" w:hAnsi="Times New Roman" w:eastAsia="方正黑体简体" w:cs="方正仿宋简体"/>
          <w:sz w:val="32"/>
          <w:szCs w:val="32"/>
          <w:lang w:val="en-US" w:eastAsia="zh-CN"/>
        </w:rPr>
        <w:t>三、编制原则</w:t>
      </w:r>
      <w:bookmarkEnd w:id="18"/>
    </w:p>
    <w:p w14:paraId="1E9735CB">
      <w:pPr>
        <w:pStyle w:val="8"/>
        <w:topLinePunct/>
        <w:autoSpaceDE/>
        <w:autoSpaceDN/>
        <w:spacing w:before="0" w:line="576" w:lineRule="exact"/>
        <w:ind w:left="0" w:firstLine="640" w:firstLineChars="200"/>
        <w:jc w:val="both"/>
        <w:rPr>
          <w:rFonts w:hint="eastAsia" w:ascii="Times New Roman" w:hAnsi="Times New Roman" w:eastAsia="方正仿宋简体" w:cs="方正仿宋简体"/>
          <w:sz w:val="32"/>
          <w:szCs w:val="32"/>
          <w:lang w:val="en-US" w:eastAsia="zh-CN"/>
        </w:rPr>
      </w:pPr>
      <w:r>
        <w:rPr>
          <w:rFonts w:hint="eastAsia" w:ascii="Times New Roman" w:hAnsi="Times New Roman" w:eastAsia="方正仿宋简体" w:cs="方正仿宋简体"/>
          <w:sz w:val="32"/>
          <w:szCs w:val="32"/>
          <w:lang w:val="en-US" w:eastAsia="zh-CN"/>
        </w:rPr>
        <w:t>《目录》编制以特色产业体系构建作为支撑全市经济社会高质量发展核心载体，筑牢发展稳固底盘、培育长效增长动能。编制全过程严格恪守六项核心工作原则：</w:t>
      </w:r>
    </w:p>
    <w:p w14:paraId="29F75EBA">
      <w:pPr>
        <w:pStyle w:val="8"/>
        <w:topLinePunct/>
        <w:autoSpaceDE/>
        <w:autoSpaceDN/>
        <w:spacing w:before="0" w:line="576" w:lineRule="exact"/>
        <w:ind w:left="0" w:firstLine="640" w:firstLineChars="200"/>
        <w:jc w:val="both"/>
        <w:outlineLvl w:val="1"/>
        <w:rPr>
          <w:rFonts w:ascii="Times New Roman" w:hAnsi="Times New Roman" w:eastAsia="方正楷体简体" w:cs="方正仿宋简体"/>
          <w:sz w:val="32"/>
          <w:szCs w:val="32"/>
        </w:rPr>
      </w:pPr>
      <w:bookmarkStart w:id="19" w:name="_Toc243241385"/>
      <w:r>
        <w:rPr>
          <w:rFonts w:ascii="Times New Roman" w:hAnsi="Times New Roman" w:eastAsia="方正楷体简体" w:cs="方正仿宋简体"/>
          <w:sz w:val="32"/>
          <w:szCs w:val="32"/>
        </w:rPr>
        <w:t>（一）生态优先，绿色可持续发展原则</w:t>
      </w:r>
      <w:bookmarkEnd w:id="19"/>
    </w:p>
    <w:p w14:paraId="11F9BEF8">
      <w:pPr>
        <w:pStyle w:val="8"/>
        <w:topLinePunct/>
        <w:autoSpaceDE/>
        <w:autoSpaceDN/>
        <w:spacing w:before="0" w:line="576" w:lineRule="exact"/>
        <w:ind w:left="0" w:firstLine="640" w:firstLineChars="200"/>
        <w:jc w:val="both"/>
        <w:rPr>
          <w:rFonts w:hint="eastAsia" w:ascii="Times New Roman" w:hAnsi="Times New Roman" w:eastAsia="方正仿宋简体" w:cs="方正仿宋简体"/>
          <w:sz w:val="32"/>
          <w:szCs w:val="32"/>
          <w:lang w:val="en-US" w:eastAsia="zh-CN"/>
        </w:rPr>
      </w:pPr>
      <w:r>
        <w:rPr>
          <w:rFonts w:hint="eastAsia" w:ascii="Times New Roman" w:hAnsi="Times New Roman" w:eastAsia="方正仿宋简体" w:cs="方正仿宋简体"/>
          <w:sz w:val="32"/>
          <w:szCs w:val="32"/>
          <w:lang w:val="en-US" w:eastAsia="zh-CN"/>
        </w:rPr>
        <w:t>始终把生态保护红线、环境质量底线、资源利用上线作为产业规划、项目准入</w:t>
      </w:r>
      <w:r>
        <w:rPr>
          <w:rFonts w:hint="eastAsia" w:ascii="Times New Roman" w:hAnsi="Times New Roman" w:eastAsia="方正仿宋简体" w:cs="方正仿宋简体"/>
          <w:sz w:val="32"/>
          <w:szCs w:val="32"/>
        </w:rPr>
        <w:t>不可逾越</w:t>
      </w:r>
      <w:r>
        <w:rPr>
          <w:rFonts w:hint="eastAsia" w:ascii="Times New Roman" w:hAnsi="Times New Roman" w:eastAsia="方正仿宋简体" w:cs="方正仿宋简体"/>
          <w:sz w:val="32"/>
          <w:szCs w:val="32"/>
          <w:lang w:val="en-US" w:eastAsia="zh-CN"/>
        </w:rPr>
        <w:t>的硬性约束。所有纳入《目录》的产业门类、谋划实施的产业项目，必须严格遵守《中华人民共和国青藏高原生态保护法》及国家、自治区、市生态环保各项法规制度。坚决杜绝高扰动、高消耗、高污染开发业态，优先布局生态修复、资源集约、生态价值转化类“生态+”融合产业，健全生态产品价值实现机制，推动产业开发与高原生态保护协同共生、长效共赢。</w:t>
      </w:r>
    </w:p>
    <w:p w14:paraId="351FE8D1">
      <w:pPr>
        <w:pStyle w:val="8"/>
        <w:topLinePunct/>
        <w:autoSpaceDE/>
        <w:autoSpaceDN/>
        <w:spacing w:before="0" w:line="576" w:lineRule="exact"/>
        <w:ind w:left="0" w:firstLine="640" w:firstLineChars="200"/>
        <w:jc w:val="both"/>
        <w:outlineLvl w:val="1"/>
        <w:rPr>
          <w:rFonts w:ascii="Times New Roman" w:hAnsi="Times New Roman" w:eastAsia="方正楷体简体" w:cs="方正仿宋简体"/>
          <w:sz w:val="32"/>
          <w:szCs w:val="32"/>
        </w:rPr>
      </w:pPr>
      <w:bookmarkStart w:id="20" w:name="_Toc243241386"/>
      <w:r>
        <w:rPr>
          <w:rFonts w:ascii="Times New Roman" w:hAnsi="Times New Roman" w:eastAsia="方正楷体简体" w:cs="方正仿宋简体"/>
          <w:sz w:val="32"/>
          <w:szCs w:val="32"/>
        </w:rPr>
        <w:t>（二）市场主导，政府精准引导原则</w:t>
      </w:r>
      <w:bookmarkEnd w:id="20"/>
    </w:p>
    <w:p w14:paraId="243360A9">
      <w:pPr>
        <w:pStyle w:val="8"/>
        <w:topLinePunct/>
        <w:autoSpaceDE/>
        <w:autoSpaceDN/>
        <w:spacing w:before="0" w:line="576" w:lineRule="exact"/>
        <w:ind w:left="0" w:firstLine="640" w:firstLineChars="200"/>
        <w:jc w:val="both"/>
        <w:rPr>
          <w:rFonts w:hint="eastAsia" w:ascii="Times New Roman" w:hAnsi="Times New Roman" w:eastAsia="方正仿宋简体" w:cs="方正仿宋简体"/>
          <w:sz w:val="32"/>
          <w:szCs w:val="32"/>
          <w:lang w:val="en-US" w:eastAsia="zh-CN"/>
        </w:rPr>
      </w:pPr>
      <w:r>
        <w:rPr>
          <w:rFonts w:hint="eastAsia" w:ascii="Times New Roman" w:hAnsi="Times New Roman" w:eastAsia="方正仿宋简体" w:cs="方正仿宋简体"/>
          <w:sz w:val="32"/>
          <w:szCs w:val="32"/>
          <w:lang w:val="en-US" w:eastAsia="zh-CN"/>
        </w:rPr>
        <w:t>充分发挥市场在</w:t>
      </w:r>
      <w:r>
        <w:rPr>
          <w:rFonts w:hint="eastAsia" w:ascii="Times New Roman" w:hAnsi="Times New Roman" w:eastAsia="方正仿宋简体" w:cs="方正仿宋简体"/>
          <w:sz w:val="32"/>
          <w:szCs w:val="32"/>
        </w:rPr>
        <w:t>资源</w:t>
      </w:r>
      <w:r>
        <w:rPr>
          <w:rFonts w:hint="eastAsia" w:ascii="Times New Roman" w:hAnsi="Times New Roman" w:eastAsia="方正仿宋简体" w:cs="方正仿宋简体"/>
          <w:sz w:val="32"/>
          <w:szCs w:val="32"/>
          <w:lang w:val="en-US" w:eastAsia="zh-CN"/>
        </w:rPr>
        <w:t>配置中的决定性作用，立足国内大循环、国内国际双循环市场格局，重点筛选市场需求旺盛、盈利模式稳定、富民带动能力突出的特色业态。政府立足统筹规划、制度供给、要素保障、市场监管职能，健全全链条产业扶持政策体系，持续优化市场化、法治化、国际化营商环境，补齐交通、冷链、数字等公共基础设施短板，减少对微观经营活动直接干预，构建有为政府与有效市场协同发力的发展格局。</w:t>
      </w:r>
    </w:p>
    <w:p w14:paraId="620FF8DA">
      <w:pPr>
        <w:pStyle w:val="8"/>
        <w:topLinePunct/>
        <w:autoSpaceDE/>
        <w:autoSpaceDN/>
        <w:spacing w:before="0" w:line="576" w:lineRule="exact"/>
        <w:ind w:left="0" w:firstLine="640" w:firstLineChars="200"/>
        <w:jc w:val="both"/>
        <w:outlineLvl w:val="1"/>
        <w:rPr>
          <w:rFonts w:ascii="Times New Roman" w:hAnsi="Times New Roman" w:eastAsia="方正楷体简体" w:cs="方正仿宋简体"/>
          <w:sz w:val="32"/>
          <w:szCs w:val="32"/>
        </w:rPr>
      </w:pPr>
      <w:bookmarkStart w:id="21" w:name="_Toc243241387"/>
      <w:r>
        <w:rPr>
          <w:rFonts w:ascii="Times New Roman" w:hAnsi="Times New Roman" w:eastAsia="方正楷体简体" w:cs="方正仿宋简体"/>
          <w:sz w:val="32"/>
          <w:szCs w:val="32"/>
        </w:rPr>
        <w:t>（三）特色引领，错位协同发展原则</w:t>
      </w:r>
      <w:bookmarkEnd w:id="21"/>
    </w:p>
    <w:p w14:paraId="19CAABA6">
      <w:pPr>
        <w:pStyle w:val="8"/>
        <w:topLinePunct/>
        <w:autoSpaceDE/>
        <w:autoSpaceDN/>
        <w:spacing w:before="0" w:line="576" w:lineRule="exact"/>
        <w:ind w:left="0" w:firstLine="640" w:firstLineChars="200"/>
        <w:jc w:val="both"/>
        <w:rPr>
          <w:rFonts w:hint="eastAsia" w:ascii="Times New Roman" w:hAnsi="Times New Roman" w:eastAsia="方正仿宋简体" w:cs="方正仿宋简体"/>
          <w:sz w:val="32"/>
          <w:szCs w:val="32"/>
          <w:lang w:val="en-US" w:eastAsia="zh-CN"/>
        </w:rPr>
      </w:pPr>
      <w:r>
        <w:rPr>
          <w:rFonts w:hint="eastAsia" w:ascii="Times New Roman" w:hAnsi="Times New Roman" w:eastAsia="方正仿宋简体" w:cs="方正仿宋简体"/>
          <w:sz w:val="32"/>
          <w:szCs w:val="32"/>
          <w:lang w:val="en-US" w:eastAsia="zh-CN"/>
        </w:rPr>
        <w:t>深度挖掘羌塘高原独有的高寒草场、优良畜禽种质、极地河湖水源、原生态游牧非遗等不可复制核心资源，将资源稀缺性转化为区域核心竞争优势与“极地那曲”公共品牌核心内核。统筹各县（区）资源禀赋、区位条件，科学划定县域主导产业与细分赛道，推行差异化布局、互补化发展，统筹全域产业资源，规避低水平重复建设、县域内部同质化低价竞争，构建全域分工明晰、优势互补的特色产业空间格局。</w:t>
      </w:r>
    </w:p>
    <w:p w14:paraId="0F27BABA">
      <w:pPr>
        <w:pStyle w:val="8"/>
        <w:topLinePunct/>
        <w:autoSpaceDE/>
        <w:autoSpaceDN/>
        <w:spacing w:before="0" w:line="576" w:lineRule="exact"/>
        <w:ind w:left="0" w:firstLine="640" w:firstLineChars="200"/>
        <w:jc w:val="both"/>
        <w:outlineLvl w:val="1"/>
        <w:rPr>
          <w:rFonts w:ascii="Times New Roman" w:hAnsi="Times New Roman" w:eastAsia="方正楷体简体" w:cs="方正仿宋简体"/>
          <w:sz w:val="32"/>
          <w:szCs w:val="32"/>
        </w:rPr>
      </w:pPr>
      <w:bookmarkStart w:id="22" w:name="_Toc243241388"/>
      <w:r>
        <w:rPr>
          <w:rFonts w:ascii="Times New Roman" w:hAnsi="Times New Roman" w:eastAsia="方正楷体简体" w:cs="方正仿宋简体"/>
          <w:sz w:val="32"/>
          <w:szCs w:val="32"/>
        </w:rPr>
        <w:t>（四）科技驱动，创新赋能发展原则</w:t>
      </w:r>
      <w:bookmarkEnd w:id="22"/>
    </w:p>
    <w:p w14:paraId="023326A0">
      <w:pPr>
        <w:pStyle w:val="8"/>
        <w:topLinePunct/>
        <w:autoSpaceDE/>
        <w:autoSpaceDN/>
        <w:spacing w:before="0" w:line="576" w:lineRule="exact"/>
        <w:ind w:left="0" w:firstLine="640" w:firstLineChars="200"/>
        <w:jc w:val="both"/>
        <w:rPr>
          <w:rFonts w:hint="eastAsia" w:ascii="Times New Roman" w:hAnsi="Times New Roman" w:eastAsia="方正仿宋简体" w:cs="方正仿宋简体"/>
          <w:sz w:val="32"/>
          <w:szCs w:val="32"/>
          <w:lang w:val="en-US" w:eastAsia="zh-CN"/>
        </w:rPr>
      </w:pPr>
      <w:r>
        <w:rPr>
          <w:rFonts w:hint="eastAsia" w:ascii="Times New Roman" w:hAnsi="Times New Roman" w:eastAsia="方正仿宋简体" w:cs="方正仿宋简体"/>
          <w:sz w:val="32"/>
          <w:szCs w:val="32"/>
          <w:lang w:val="en-US" w:eastAsia="zh-CN"/>
        </w:rPr>
        <w:t>坚持以科技创新培育新质生产力，依托现代生物育种、数字信息技术、高原智能冷链、高寒适配装备等先进技术改造提升传统畜牧、民族手工等存量产业。聚焦藏医药标准化、高原储能、低空</w:t>
      </w:r>
      <w:bookmarkStart w:id="23" w:name="OLE_LINK41"/>
      <w:r>
        <w:rPr>
          <w:rFonts w:hint="eastAsia" w:ascii="Times New Roman" w:hAnsi="Times New Roman" w:eastAsia="方正仿宋简体" w:cs="方正仿宋简体"/>
          <w:sz w:val="32"/>
          <w:szCs w:val="32"/>
          <w:lang w:val="en-US" w:eastAsia="zh-CN"/>
        </w:rPr>
        <w:t>经济</w:t>
      </w:r>
      <w:bookmarkEnd w:id="23"/>
      <w:r>
        <w:rPr>
          <w:rFonts w:hint="eastAsia" w:ascii="Times New Roman" w:hAnsi="Times New Roman" w:eastAsia="方正仿宋简体" w:cs="方正仿宋简体"/>
          <w:sz w:val="32"/>
          <w:szCs w:val="32"/>
          <w:lang w:val="en-US" w:eastAsia="zh-CN"/>
        </w:rPr>
        <w:t>、绿色算力等前沿领域，推进技术攻关、模式创新与业态培育，搭建产学研协同创新平台，加快科技成果高原本地化转化应用，以创新突破高海拔产业发展固有瓶颈，持续培育产业全新增长极。</w:t>
      </w:r>
    </w:p>
    <w:p w14:paraId="7F5D6C50">
      <w:pPr>
        <w:pStyle w:val="8"/>
        <w:topLinePunct/>
        <w:autoSpaceDE/>
        <w:autoSpaceDN/>
        <w:spacing w:before="0" w:line="576" w:lineRule="exact"/>
        <w:ind w:left="0" w:firstLine="640" w:firstLineChars="200"/>
        <w:jc w:val="both"/>
        <w:outlineLvl w:val="1"/>
        <w:rPr>
          <w:rFonts w:ascii="Times New Roman" w:hAnsi="Times New Roman" w:eastAsia="方正楷体简体" w:cs="方正仿宋简体"/>
          <w:sz w:val="32"/>
          <w:szCs w:val="32"/>
        </w:rPr>
      </w:pPr>
      <w:bookmarkStart w:id="24" w:name="_Toc243241389"/>
      <w:r>
        <w:rPr>
          <w:rFonts w:ascii="Times New Roman" w:hAnsi="Times New Roman" w:eastAsia="方正楷体简体" w:cs="方正仿宋简体"/>
          <w:sz w:val="32"/>
          <w:szCs w:val="32"/>
        </w:rPr>
        <w:t>（五）民生为本，共建共享发展原则</w:t>
      </w:r>
      <w:bookmarkEnd w:id="24"/>
    </w:p>
    <w:p w14:paraId="3E112F01">
      <w:pPr>
        <w:pStyle w:val="8"/>
        <w:topLinePunct/>
        <w:autoSpaceDE/>
        <w:autoSpaceDN/>
        <w:spacing w:before="0" w:line="576" w:lineRule="exact"/>
        <w:ind w:left="0" w:firstLine="640" w:firstLineChars="200"/>
        <w:jc w:val="both"/>
        <w:rPr>
          <w:rFonts w:hint="eastAsia" w:ascii="Times New Roman" w:hAnsi="Times New Roman" w:eastAsia="方正仿宋简体" w:cs="方正仿宋简体"/>
          <w:sz w:val="32"/>
          <w:szCs w:val="32"/>
          <w:lang w:val="en-US" w:eastAsia="zh-CN"/>
        </w:rPr>
      </w:pPr>
      <w:r>
        <w:rPr>
          <w:rFonts w:hint="eastAsia" w:ascii="Times New Roman" w:hAnsi="Times New Roman" w:eastAsia="方正仿宋简体" w:cs="方正仿宋简体"/>
          <w:sz w:val="32"/>
          <w:szCs w:val="32"/>
          <w:lang w:val="en-US" w:eastAsia="zh-CN"/>
        </w:rPr>
        <w:t>牢固树立以人民为中心的发展思想，把富民增收、稳岗就业作为产业培育根本落脚点，优先扶持能够构建企业、合作社、牧户紧密型利益联结机制的产业赛道。健全入股分红、劳务用工、产品保底收购多元收益分配模式，持续拓宽农牧民经营性、财产性、劳务性多元增收渠道。同步配套产业发展所需公共服务、基础设施，不断提升各族群众获得感、幸福感、安全感，扎实推进藏北高原共同富裕。</w:t>
      </w:r>
    </w:p>
    <w:p w14:paraId="3445002C">
      <w:pPr>
        <w:pStyle w:val="8"/>
        <w:topLinePunct/>
        <w:autoSpaceDE/>
        <w:autoSpaceDN/>
        <w:spacing w:before="0" w:line="576" w:lineRule="exact"/>
        <w:ind w:left="0" w:firstLine="640" w:firstLineChars="200"/>
        <w:jc w:val="both"/>
        <w:outlineLvl w:val="1"/>
        <w:rPr>
          <w:rFonts w:ascii="Times New Roman" w:hAnsi="Times New Roman" w:eastAsia="方正仿宋简体" w:cs="方正仿宋简体"/>
          <w:sz w:val="32"/>
          <w:szCs w:val="32"/>
          <w:lang w:val="en-US" w:eastAsia="zh-CN"/>
        </w:rPr>
      </w:pPr>
      <w:bookmarkStart w:id="25" w:name="_Toc243241390"/>
      <w:r>
        <w:rPr>
          <w:rFonts w:ascii="Times New Roman" w:hAnsi="Times New Roman" w:eastAsia="方正楷体简体" w:cs="方正仿宋简体"/>
          <w:sz w:val="32"/>
          <w:szCs w:val="32"/>
        </w:rPr>
        <w:t>（六）动态调整，循序渐进原则</w:t>
      </w:r>
      <w:bookmarkEnd w:id="25"/>
    </w:p>
    <w:p w14:paraId="56246469">
      <w:pPr>
        <w:pStyle w:val="8"/>
        <w:topLinePunct/>
        <w:autoSpaceDE/>
        <w:autoSpaceDN/>
        <w:spacing w:before="0" w:line="576" w:lineRule="exact"/>
        <w:ind w:left="0" w:firstLine="640" w:firstLineChars="200"/>
        <w:jc w:val="both"/>
        <w:rPr>
          <w:rFonts w:hint="eastAsia" w:ascii="Times New Roman" w:hAnsi="Times New Roman" w:eastAsia="方正仿宋简体" w:cs="方正仿宋简体"/>
          <w:sz w:val="32"/>
          <w:szCs w:val="32"/>
          <w:lang w:val="en-US" w:eastAsia="zh-CN"/>
        </w:rPr>
      </w:pPr>
      <w:r>
        <w:rPr>
          <w:rFonts w:hint="eastAsia" w:ascii="Times New Roman" w:hAnsi="Times New Roman" w:eastAsia="方正仿宋简体" w:cs="方正仿宋简体"/>
          <w:sz w:val="32"/>
          <w:szCs w:val="32"/>
          <w:lang w:val="en-US" w:eastAsia="zh-CN"/>
        </w:rPr>
        <w:t>建立《目录》常态化修订更新机制，每2至3年结合宏观政策调整、市场供需变化、前沿技术迭代、本地资源开发成效、产业发展实际，优化调整产业分类、发展重点、扶持导向。严格遵循产业培育客观发展规律，区分短期攻坚提质产业、中长期培育壮大产业，分阶段、分批次谋划实施，不搞一哄而上、急功近利，一张蓝图绘到底，久久为功推动特色产业稳步提质、迭代升级。</w:t>
      </w:r>
    </w:p>
    <w:p w14:paraId="4D2CF479">
      <w:pPr>
        <w:pStyle w:val="8"/>
        <w:topLinePunct/>
        <w:autoSpaceDE/>
        <w:autoSpaceDN/>
        <w:spacing w:before="0" w:line="576" w:lineRule="exact"/>
        <w:ind w:left="0" w:firstLine="640" w:firstLineChars="200"/>
        <w:jc w:val="both"/>
        <w:outlineLvl w:val="0"/>
        <w:rPr>
          <w:rFonts w:ascii="Times New Roman" w:hAnsi="Times New Roman" w:eastAsia="方正黑体简体" w:cs="方正仿宋简体"/>
          <w:sz w:val="32"/>
          <w:szCs w:val="32"/>
          <w:lang w:val="en-US" w:eastAsia="zh-CN"/>
        </w:rPr>
      </w:pPr>
      <w:bookmarkStart w:id="26" w:name="_Toc243241391"/>
      <w:r>
        <w:rPr>
          <w:rFonts w:hint="eastAsia" w:ascii="Times New Roman" w:hAnsi="Times New Roman" w:eastAsia="方正黑体简体" w:cs="方正仿宋简体"/>
          <w:sz w:val="32"/>
          <w:szCs w:val="32"/>
          <w:lang w:val="en-US" w:eastAsia="zh-CN"/>
        </w:rPr>
        <w:t>四、主要支撑体系</w:t>
      </w:r>
      <w:bookmarkEnd w:id="26"/>
    </w:p>
    <w:p w14:paraId="50ABA81D">
      <w:pPr>
        <w:pStyle w:val="8"/>
        <w:topLinePunct/>
        <w:autoSpaceDE/>
        <w:autoSpaceDN/>
        <w:spacing w:before="0" w:line="576" w:lineRule="exact"/>
        <w:ind w:left="0" w:firstLine="640" w:firstLineChars="200"/>
        <w:jc w:val="both"/>
        <w:rPr>
          <w:rFonts w:hint="eastAsia" w:ascii="Times New Roman" w:hAnsi="Times New Roman" w:eastAsia="方正仿宋简体" w:cs="方正仿宋简体"/>
          <w:sz w:val="32"/>
          <w:szCs w:val="32"/>
          <w:lang w:val="en-US" w:eastAsia="zh-CN"/>
        </w:rPr>
      </w:pPr>
      <w:r>
        <w:rPr>
          <w:rFonts w:hint="eastAsia" w:ascii="Times New Roman" w:hAnsi="Times New Roman" w:eastAsia="方正仿宋简体" w:cs="方正仿宋简体"/>
          <w:sz w:val="32"/>
          <w:szCs w:val="32"/>
          <w:lang w:val="en-US" w:eastAsia="zh-CN"/>
        </w:rPr>
        <w:t>《目录》编制实施依托政策规划、产业基础、资源禀赋、科创赋能、市场主体、资金保障、对口支援、品牌培育八大系统性支撑，各项条件互为支撑、协同发力，为全域特色产业统筹布局、落地见效筑牢坚实根基。</w:t>
      </w:r>
    </w:p>
    <w:p w14:paraId="645D386D">
      <w:pPr>
        <w:pStyle w:val="8"/>
        <w:topLinePunct/>
        <w:autoSpaceDE/>
        <w:autoSpaceDN/>
        <w:spacing w:before="0" w:line="576" w:lineRule="exact"/>
        <w:ind w:left="0" w:firstLine="640" w:firstLineChars="200"/>
        <w:jc w:val="both"/>
        <w:outlineLvl w:val="1"/>
        <w:rPr>
          <w:rFonts w:ascii="Times New Roman" w:hAnsi="Times New Roman" w:eastAsia="方正楷体简体" w:cs="方正仿宋简体"/>
          <w:sz w:val="32"/>
          <w:szCs w:val="32"/>
        </w:rPr>
      </w:pPr>
      <w:bookmarkStart w:id="27" w:name="_Toc243241392"/>
      <w:bookmarkStart w:id="28" w:name="OLE_LINK44"/>
      <w:r>
        <w:rPr>
          <w:rFonts w:ascii="Times New Roman" w:hAnsi="Times New Roman" w:eastAsia="方正楷体简体" w:cs="方正仿宋简体"/>
          <w:sz w:val="32"/>
          <w:szCs w:val="32"/>
        </w:rPr>
        <w:t>（一）政策规划支撑</w:t>
      </w:r>
      <w:bookmarkEnd w:id="27"/>
    </w:p>
    <w:bookmarkEnd w:id="28"/>
    <w:p w14:paraId="2867A430">
      <w:pPr>
        <w:pStyle w:val="8"/>
        <w:topLinePunct/>
        <w:autoSpaceDE/>
        <w:autoSpaceDN/>
        <w:spacing w:before="0" w:line="576" w:lineRule="exact"/>
        <w:ind w:left="0" w:firstLine="640" w:firstLineChars="200"/>
        <w:jc w:val="both"/>
        <w:rPr>
          <w:rFonts w:hint="eastAsia" w:ascii="Times New Roman" w:hAnsi="Times New Roman" w:eastAsia="方正仿宋简体" w:cs="方正仿宋简体"/>
          <w:sz w:val="32"/>
          <w:szCs w:val="32"/>
          <w:lang w:val="en-US" w:eastAsia="zh-CN"/>
        </w:rPr>
      </w:pPr>
      <w:bookmarkStart w:id="29" w:name="OLE_LINK42"/>
      <w:bookmarkStart w:id="30" w:name="OLE_LINK43"/>
      <w:r>
        <w:rPr>
          <w:rFonts w:hint="eastAsia" w:ascii="Times New Roman" w:hAnsi="Times New Roman" w:eastAsia="方正仿宋简体" w:cs="方正仿宋简体"/>
          <w:sz w:val="32"/>
          <w:szCs w:val="32"/>
          <w:lang w:val="en-US" w:eastAsia="zh-CN"/>
        </w:rPr>
        <w:t>《那曲市国民经济和社会发展第十五个五年规划纲要》和市级同步推进</w:t>
      </w:r>
      <w:r>
        <w:rPr>
          <w:rFonts w:hint="eastAsia" w:ascii="Times New Roman" w:hAnsi="Times New Roman" w:eastAsia="方正仿宋简体" w:cs="方正仿宋简体"/>
          <w:sz w:val="32"/>
          <w:szCs w:val="32"/>
        </w:rPr>
        <w:t>《那曲市</w:t>
      </w:r>
      <w:r>
        <w:rPr>
          <w:rFonts w:hint="eastAsia" w:ascii="Times New Roman" w:hAnsi="Times New Roman" w:eastAsia="方正仿宋简体" w:cs="方正仿宋简体"/>
          <w:sz w:val="32"/>
          <w:szCs w:val="32"/>
          <w:lang w:eastAsia="zh-CN"/>
        </w:rPr>
        <w:t>“</w:t>
      </w:r>
      <w:r>
        <w:rPr>
          <w:rFonts w:hint="eastAsia" w:ascii="Times New Roman" w:hAnsi="Times New Roman" w:eastAsia="方正仿宋简体" w:cs="方正仿宋简体"/>
          <w:sz w:val="32"/>
          <w:szCs w:val="32"/>
        </w:rPr>
        <w:t>十五五</w:t>
      </w:r>
      <w:r>
        <w:rPr>
          <w:rFonts w:hint="eastAsia" w:ascii="Times New Roman" w:hAnsi="Times New Roman" w:eastAsia="方正仿宋简体" w:cs="方正仿宋简体"/>
          <w:sz w:val="32"/>
          <w:szCs w:val="32"/>
          <w:lang w:eastAsia="zh-CN"/>
        </w:rPr>
        <w:t>”</w:t>
      </w:r>
      <w:r>
        <w:rPr>
          <w:rFonts w:hint="eastAsia" w:ascii="Times New Roman" w:hAnsi="Times New Roman" w:eastAsia="方正仿宋简体" w:cs="方正仿宋简体"/>
          <w:sz w:val="32"/>
          <w:szCs w:val="32"/>
        </w:rPr>
        <w:t>时期三次产业融合发展规划》</w:t>
      </w:r>
      <w:r>
        <w:rPr>
          <w:rFonts w:hint="eastAsia" w:ascii="Times New Roman" w:hAnsi="Times New Roman" w:eastAsia="方正仿宋简体" w:cs="方正仿宋简体"/>
          <w:sz w:val="32"/>
          <w:szCs w:val="32"/>
          <w:lang w:val="en-US" w:eastAsia="zh-CN"/>
        </w:rPr>
        <w:t>编制工作，对标自治区九大产业发展总体布局，统筹基础产业、支柱产业、潜力产业和新兴战略产业的发展路径，</w:t>
      </w:r>
      <w:bookmarkEnd w:id="29"/>
      <w:r>
        <w:rPr>
          <w:rFonts w:hint="eastAsia" w:ascii="Times New Roman" w:hAnsi="Times New Roman" w:eastAsia="方正仿宋简体" w:cs="方正仿宋简体"/>
          <w:sz w:val="32"/>
          <w:szCs w:val="32"/>
          <w:lang w:val="en-US" w:eastAsia="zh-CN"/>
        </w:rPr>
        <w:t>构建上下贯通、层级衔接的顶层规划体系，为《目录》编制实施提供上位设计遵循。叠加西部大开发、乡村振兴、青藏高原生态保护、对口援藏等国家、自治区、市级系列专项扶持政策，形成全方位政策赋能链条。</w:t>
      </w:r>
    </w:p>
    <w:bookmarkEnd w:id="30"/>
    <w:p w14:paraId="31998118">
      <w:pPr>
        <w:pStyle w:val="8"/>
        <w:topLinePunct/>
        <w:autoSpaceDE/>
        <w:autoSpaceDN/>
        <w:spacing w:before="0" w:line="576" w:lineRule="exact"/>
        <w:ind w:left="0" w:firstLine="640" w:firstLineChars="200"/>
        <w:jc w:val="both"/>
        <w:outlineLvl w:val="1"/>
        <w:rPr>
          <w:rFonts w:ascii="Times New Roman" w:hAnsi="Times New Roman" w:eastAsia="方正楷体简体" w:cs="方正仿宋简体"/>
          <w:sz w:val="32"/>
          <w:szCs w:val="32"/>
        </w:rPr>
      </w:pPr>
      <w:bookmarkStart w:id="31" w:name="_Toc243241393"/>
      <w:r>
        <w:rPr>
          <w:rFonts w:ascii="Times New Roman" w:hAnsi="Times New Roman" w:eastAsia="方正楷体简体" w:cs="方正仿宋简体"/>
          <w:sz w:val="32"/>
          <w:szCs w:val="32"/>
        </w:rPr>
        <w:t>（二）产业基础支撑</w:t>
      </w:r>
      <w:bookmarkEnd w:id="31"/>
    </w:p>
    <w:p w14:paraId="68FA3A33">
      <w:pPr>
        <w:pStyle w:val="8"/>
        <w:topLinePunct/>
        <w:autoSpaceDE/>
        <w:autoSpaceDN/>
        <w:spacing w:before="0" w:line="576" w:lineRule="exact"/>
        <w:ind w:left="0" w:firstLine="640" w:firstLineChars="200"/>
        <w:jc w:val="both"/>
        <w:rPr>
          <w:rFonts w:hint="eastAsia" w:ascii="Times New Roman" w:hAnsi="Times New Roman" w:eastAsia="方正仿宋简体" w:cs="方正仿宋简体"/>
          <w:sz w:val="32"/>
          <w:szCs w:val="32"/>
          <w:lang w:val="en-US" w:eastAsia="zh-CN"/>
        </w:rPr>
      </w:pPr>
      <w:r>
        <w:rPr>
          <w:rFonts w:hint="eastAsia" w:ascii="Times New Roman" w:hAnsi="Times New Roman" w:eastAsia="方正仿宋简体" w:cs="方正仿宋简体"/>
          <w:sz w:val="32"/>
          <w:szCs w:val="32"/>
          <w:lang w:val="en-US" w:eastAsia="zh-CN"/>
        </w:rPr>
        <w:t>经过“十四五”持续培育，全市三大支柱产业提质增效、发展底盘持续夯实。清洁能源方面，2025年风光水总装机达137.68万千瓦，全年上网发电量11.21亿千瓦时、同比增长39.49%，多能互补规模化发展格局基本成型；高原农牧业标准化、规模化水平稳步提升，那曲冬虫夏草收入占产区农牧民总收入的50%至80%，年均产值超30亿元，年出货量占西藏冬虫夏草总出货量的80%以上；文旅融合成效凸显，2025年接待游客294.35万人次、旅游总收入9.57亿元、文化产业产值8.4亿元，三项指标同比增速均超30%，消费拉动作用持续放大。各类产业经营主体持续扩容，产业内生发展活力稳步增强。</w:t>
      </w:r>
    </w:p>
    <w:p w14:paraId="6297B77A">
      <w:pPr>
        <w:pStyle w:val="8"/>
        <w:topLinePunct/>
        <w:autoSpaceDE/>
        <w:autoSpaceDN/>
        <w:spacing w:before="0" w:line="576" w:lineRule="exact"/>
        <w:ind w:left="0" w:firstLine="640" w:firstLineChars="200"/>
        <w:jc w:val="both"/>
        <w:outlineLvl w:val="1"/>
        <w:rPr>
          <w:rFonts w:ascii="Times New Roman" w:hAnsi="Times New Roman" w:eastAsia="方正楷体简体" w:cs="方正仿宋简体"/>
          <w:sz w:val="32"/>
          <w:szCs w:val="32"/>
        </w:rPr>
      </w:pPr>
      <w:bookmarkStart w:id="32" w:name="_Toc243241394"/>
      <w:r>
        <w:rPr>
          <w:rFonts w:ascii="Times New Roman" w:hAnsi="Times New Roman" w:eastAsia="方正楷体简体" w:cs="方正仿宋简体"/>
          <w:sz w:val="32"/>
          <w:szCs w:val="32"/>
        </w:rPr>
        <w:t>（三）资源禀赋支撑</w:t>
      </w:r>
      <w:bookmarkEnd w:id="32"/>
    </w:p>
    <w:p w14:paraId="7166B44F">
      <w:pPr>
        <w:pStyle w:val="8"/>
        <w:topLinePunct/>
        <w:autoSpaceDE/>
        <w:autoSpaceDN/>
        <w:spacing w:before="0" w:line="576" w:lineRule="exact"/>
        <w:ind w:left="0" w:firstLine="640" w:firstLineChars="200"/>
        <w:jc w:val="both"/>
        <w:rPr>
          <w:rFonts w:ascii="Times New Roman" w:hAnsi="Times New Roman" w:eastAsia="方正仿宋简体" w:cs="方正仿宋简体"/>
          <w:sz w:val="32"/>
          <w:szCs w:val="32"/>
          <w:lang w:val="en-US" w:eastAsia="zh-CN"/>
        </w:rPr>
      </w:pPr>
      <w:r>
        <w:rPr>
          <w:rFonts w:hint="eastAsia" w:ascii="Times New Roman" w:hAnsi="Times New Roman" w:eastAsia="方正仿宋简体" w:cs="方正仿宋简体"/>
          <w:sz w:val="32"/>
          <w:szCs w:val="32"/>
          <w:lang w:val="en-US" w:eastAsia="zh-CN"/>
        </w:rPr>
        <w:t>全市拥有可利用草场4.48亿亩，是全国五大牧区核心板块；那曲冬虫夏草、藏贝母等道地药材储量丰厚，水能、风能、太阳能可开发规模位居全区前列。作为长江、怒江、澜沧江发源地，冰川、湖泊、深层地下水储量充沛，高原矿产、原生态文旅资源独具稀缺性，各类不可复制的原生资源构成产业发展天然基底。</w:t>
      </w:r>
    </w:p>
    <w:p w14:paraId="0C20379C">
      <w:pPr>
        <w:pStyle w:val="8"/>
        <w:topLinePunct/>
        <w:autoSpaceDE/>
        <w:autoSpaceDN/>
        <w:spacing w:before="0" w:line="576" w:lineRule="exact"/>
        <w:ind w:left="0" w:firstLine="640" w:firstLineChars="200"/>
        <w:jc w:val="both"/>
        <w:outlineLvl w:val="1"/>
        <w:rPr>
          <w:rFonts w:ascii="Times New Roman" w:hAnsi="Times New Roman" w:eastAsia="方正楷体简体" w:cs="方正仿宋简体"/>
          <w:sz w:val="32"/>
          <w:szCs w:val="32"/>
          <w:lang w:eastAsia="zh-CN"/>
        </w:rPr>
      </w:pPr>
      <w:bookmarkStart w:id="33" w:name="_Toc243241395"/>
      <w:bookmarkStart w:id="34" w:name="OLE_LINK21"/>
      <w:bookmarkStart w:id="35" w:name="OLE_LINK46"/>
      <w:r>
        <w:rPr>
          <w:rFonts w:ascii="Times New Roman" w:hAnsi="Times New Roman" w:eastAsia="方正楷体简体" w:cs="方正仿宋简体"/>
          <w:sz w:val="32"/>
          <w:szCs w:val="32"/>
        </w:rPr>
        <w:t>（四）科技创新支撑</w:t>
      </w:r>
      <w:bookmarkEnd w:id="33"/>
    </w:p>
    <w:bookmarkEnd w:id="34"/>
    <w:bookmarkEnd w:id="35"/>
    <w:p w14:paraId="4B02075B">
      <w:pPr>
        <w:pStyle w:val="8"/>
        <w:topLinePunct/>
        <w:autoSpaceDE/>
        <w:autoSpaceDN/>
        <w:spacing w:before="0" w:line="576" w:lineRule="exact"/>
        <w:ind w:left="0" w:firstLine="640" w:firstLineChars="200"/>
        <w:jc w:val="both"/>
        <w:rPr>
          <w:rFonts w:hint="eastAsia" w:ascii="Times New Roman" w:hAnsi="Times New Roman" w:eastAsia="方正仿宋简体" w:cs="方正仿宋简体"/>
          <w:sz w:val="32"/>
          <w:szCs w:val="32"/>
          <w:lang w:val="en-US" w:eastAsia="zh-CN"/>
        </w:rPr>
      </w:pPr>
      <w:r>
        <w:rPr>
          <w:rFonts w:hint="eastAsia" w:ascii="Times New Roman" w:hAnsi="Times New Roman" w:eastAsia="方正仿宋简体" w:cs="方正仿宋简体"/>
          <w:sz w:val="32"/>
          <w:szCs w:val="32"/>
          <w:lang w:val="en-US" w:eastAsia="zh-CN"/>
        </w:rPr>
        <w:t>那曲市立足羌塘高原高寒禀赋，已建成适配高原特色产业发展的科技创新支撑体系，全面覆盖特色农牧、藏医药、生态修复、清洁能源、数字算力等重点领域，为特色产业高质量发展提供坚实科创保障。科创平台基础扎实，已建成市级高原生物实验室、专家工作站、青藏高原极地种质资源保护研究中心等专业载体，在娘亚牦牛、多玛绵羊、耐寒牧草等本土品种良种繁育、高海拔生态驯化方面形成成熟技术积淀，有效支撑高原生态畜牧业提质增效。产业科创服务体系日趋完善，依托产业园区、龙头企业和合作社，建立“科研平台+经营主体+基层推广”技术转化模式。藏医药产业支撑完备，市县两级藏医院配齐现代化制剂设备，建成“药材基地—县级藏医院—乡镇服务网点”三级服务体系，标准化种植、加工技术实现常态化落地。人才支撑持续夯实，全市集聚专业技术人才、“三区”科技人才及农牧民科技特派员队伍，常态化开展技术推广与成果转化，有效破解高海拔产业技术瓶颈。依托那曲5G、数据中心等新型数字基建，持续推动数字技术、绿色技术与实体经济深度融合，在高原储能、光热利用、生态改良、矿山修复、智慧运营等领域形成稳定技术支撑，有效赋能传统产业转型升级、新兴业态培育壮大，形成适配那曲资源禀赋与生态底线的高原科创支撑格局。</w:t>
      </w:r>
    </w:p>
    <w:p w14:paraId="27E103EE">
      <w:pPr>
        <w:pStyle w:val="8"/>
        <w:topLinePunct/>
        <w:autoSpaceDE/>
        <w:autoSpaceDN/>
        <w:spacing w:before="0" w:line="576" w:lineRule="exact"/>
        <w:ind w:left="0" w:firstLine="640" w:firstLineChars="200"/>
        <w:jc w:val="both"/>
        <w:outlineLvl w:val="1"/>
        <w:rPr>
          <w:rFonts w:ascii="Times New Roman" w:hAnsi="Times New Roman" w:eastAsia="方正楷体简体" w:cs="方正仿宋简体"/>
          <w:sz w:val="32"/>
          <w:szCs w:val="32"/>
        </w:rPr>
      </w:pPr>
      <w:bookmarkStart w:id="36" w:name="_Toc243241396"/>
      <w:r>
        <w:rPr>
          <w:rFonts w:ascii="Times New Roman" w:hAnsi="Times New Roman" w:eastAsia="方正楷体简体" w:cs="方正仿宋简体"/>
          <w:sz w:val="32"/>
          <w:szCs w:val="32"/>
        </w:rPr>
        <w:t>（五）市场主体支撑</w:t>
      </w:r>
      <w:bookmarkEnd w:id="36"/>
    </w:p>
    <w:p w14:paraId="7E607B14">
      <w:pPr>
        <w:pStyle w:val="8"/>
        <w:topLinePunct/>
        <w:autoSpaceDE/>
        <w:autoSpaceDN/>
        <w:spacing w:before="0" w:line="576" w:lineRule="exact"/>
        <w:ind w:left="0" w:firstLine="640" w:firstLineChars="200"/>
        <w:jc w:val="both"/>
        <w:rPr>
          <w:rFonts w:hint="eastAsia" w:ascii="Times New Roman" w:hAnsi="Times New Roman" w:eastAsia="方正仿宋简体" w:cs="方正仿宋简体"/>
          <w:sz w:val="32"/>
          <w:szCs w:val="32"/>
          <w:lang w:val="en-US" w:eastAsia="zh-CN"/>
        </w:rPr>
      </w:pPr>
      <w:r>
        <w:rPr>
          <w:rFonts w:hint="eastAsia" w:ascii="Times New Roman" w:hAnsi="Times New Roman" w:eastAsia="方正仿宋简体" w:cs="方正仿宋简体"/>
          <w:sz w:val="32"/>
          <w:szCs w:val="32"/>
          <w:lang w:val="en-US" w:eastAsia="zh-CN"/>
        </w:rPr>
        <w:t>构建“产业园区+龙头企业+合作社+家庭牧场+养殖大户”五级经营组织体系。现有1个国家级现代农业产业园，3家自治区级、19家市级农牧业龙头企业；培育国家级农牧合作社32家、自治区级合作社11家、自治区示范家庭牧场7家，全市农牧专业合作社1616家、注册家庭牧场</w:t>
      </w:r>
      <w:bookmarkStart w:id="37" w:name="OLE_LINK32"/>
      <w:r>
        <w:rPr>
          <w:rFonts w:hint="eastAsia" w:ascii="Times New Roman" w:hAnsi="Times New Roman" w:eastAsia="方正仿宋简体" w:cs="方正仿宋简体"/>
          <w:sz w:val="32"/>
          <w:szCs w:val="32"/>
          <w:lang w:val="en-US" w:eastAsia="zh-CN"/>
        </w:rPr>
        <w:t>3734</w:t>
      </w:r>
      <w:bookmarkEnd w:id="37"/>
      <w:r>
        <w:rPr>
          <w:rFonts w:hint="eastAsia" w:ascii="Times New Roman" w:hAnsi="Times New Roman" w:eastAsia="方正仿宋简体" w:cs="方正仿宋简体"/>
          <w:sz w:val="32"/>
          <w:szCs w:val="32"/>
          <w:lang w:val="en-US" w:eastAsia="zh-CN"/>
        </w:rPr>
        <w:t>户、规模养殖大户4564户，多层次经营主体实现种养加工流通全链条覆盖。</w:t>
      </w:r>
    </w:p>
    <w:p w14:paraId="565EA241">
      <w:pPr>
        <w:pStyle w:val="8"/>
        <w:topLinePunct/>
        <w:autoSpaceDE/>
        <w:autoSpaceDN/>
        <w:spacing w:before="0" w:line="576" w:lineRule="exact"/>
        <w:ind w:left="0" w:firstLine="640" w:firstLineChars="200"/>
        <w:jc w:val="both"/>
        <w:outlineLvl w:val="1"/>
        <w:rPr>
          <w:rFonts w:ascii="Times New Roman" w:hAnsi="Times New Roman" w:eastAsia="方正楷体简体" w:cs="方正仿宋简体"/>
          <w:sz w:val="32"/>
          <w:szCs w:val="32"/>
        </w:rPr>
      </w:pPr>
      <w:bookmarkStart w:id="38" w:name="_Toc243241397"/>
      <w:r>
        <w:rPr>
          <w:rFonts w:ascii="Times New Roman" w:hAnsi="Times New Roman" w:eastAsia="方正楷体简体" w:cs="方正仿宋简体"/>
          <w:sz w:val="32"/>
          <w:szCs w:val="32"/>
        </w:rPr>
        <w:t>（六）资金保障支撑</w:t>
      </w:r>
      <w:bookmarkEnd w:id="38"/>
    </w:p>
    <w:p w14:paraId="07837859">
      <w:pPr>
        <w:pStyle w:val="8"/>
        <w:topLinePunct/>
        <w:autoSpaceDE/>
        <w:autoSpaceDN/>
        <w:spacing w:before="0" w:line="576" w:lineRule="exact"/>
        <w:ind w:left="0" w:firstLine="640" w:firstLineChars="200"/>
        <w:jc w:val="both"/>
        <w:rPr>
          <w:rFonts w:hint="eastAsia" w:ascii="Times New Roman" w:hAnsi="Times New Roman" w:eastAsia="方正仿宋简体" w:cs="方正仿宋简体"/>
          <w:sz w:val="32"/>
          <w:szCs w:val="32"/>
          <w:lang w:val="en-US" w:eastAsia="zh-CN"/>
        </w:rPr>
      </w:pPr>
      <w:r>
        <w:rPr>
          <w:rFonts w:hint="eastAsia" w:ascii="Times New Roman" w:hAnsi="Times New Roman" w:eastAsia="方正仿宋简体" w:cs="方正仿宋简体"/>
          <w:sz w:val="32"/>
          <w:szCs w:val="32"/>
          <w:lang w:val="en-US" w:eastAsia="zh-CN"/>
        </w:rPr>
        <w:t>统筹中央预算内投资、地方政府专项债券、产业发展专项资金等各类财政资金，常态化向上对接争取产业项目扶持。本地金融机构创新推出“乡村振兴・牦牛产业贷”活畜抵押专属信贷产品，截至2025年底累计投放0.78亿元、覆盖33家涉农经营主体，有效缓解高原特色产业融资堵点，构建财政、金融协同配套资金保障机制。</w:t>
      </w:r>
    </w:p>
    <w:p w14:paraId="59ACB4EA">
      <w:pPr>
        <w:pStyle w:val="8"/>
        <w:topLinePunct/>
        <w:autoSpaceDE/>
        <w:autoSpaceDN/>
        <w:spacing w:before="0" w:line="576" w:lineRule="exact"/>
        <w:ind w:left="0" w:firstLine="640" w:firstLineChars="200"/>
        <w:jc w:val="both"/>
        <w:outlineLvl w:val="1"/>
        <w:rPr>
          <w:rFonts w:ascii="Times New Roman" w:hAnsi="Times New Roman" w:eastAsia="方正楷体简体" w:cs="方正仿宋简体"/>
          <w:sz w:val="32"/>
          <w:szCs w:val="32"/>
        </w:rPr>
      </w:pPr>
      <w:bookmarkStart w:id="39" w:name="_Toc243241398"/>
      <w:r>
        <w:rPr>
          <w:rFonts w:ascii="Times New Roman" w:hAnsi="Times New Roman" w:eastAsia="方正楷体简体" w:cs="方正仿宋简体"/>
          <w:sz w:val="32"/>
          <w:szCs w:val="32"/>
        </w:rPr>
        <w:t>（七）对口支援支撑</w:t>
      </w:r>
      <w:bookmarkEnd w:id="39"/>
    </w:p>
    <w:p w14:paraId="51A552E4">
      <w:pPr>
        <w:pStyle w:val="8"/>
        <w:topLinePunct/>
        <w:autoSpaceDE/>
        <w:autoSpaceDN/>
        <w:spacing w:before="0" w:line="576" w:lineRule="exact"/>
        <w:ind w:left="0" w:firstLine="640" w:firstLineChars="200"/>
        <w:jc w:val="both"/>
        <w:rPr>
          <w:rFonts w:hint="eastAsia" w:ascii="Times New Roman" w:hAnsi="Times New Roman" w:eastAsia="方正仿宋简体" w:cs="方正仿宋简体"/>
          <w:sz w:val="32"/>
          <w:szCs w:val="32"/>
          <w:lang w:val="en-US" w:eastAsia="zh-CN"/>
        </w:rPr>
      </w:pPr>
      <w:r>
        <w:rPr>
          <w:rFonts w:hint="eastAsia" w:ascii="Times New Roman" w:hAnsi="Times New Roman" w:eastAsia="方正仿宋简体" w:cs="方正仿宋简体"/>
          <w:sz w:val="32"/>
          <w:szCs w:val="32"/>
          <w:lang w:val="en-US" w:eastAsia="zh-CN"/>
        </w:rPr>
        <w:t>那曲市依托浙江、辽宁两省及中国石油、中国石化、中国海油、国家能源集团、中信集团五大央企多层次对口帮扶体系，自1994年中央第三次西藏工作座谈会确定对口援藏机制起，各方持续统筹资金、技术、人才、市场资源协同赋能全市特色产业提质增效。浙江省1995年起接续开展组团式援藏，30年来累计投入各类援藏资金61.63亿元、实施项目438个，落地牦牛深加工、高原特色食品、文旅综合体等实体产业，转化内地成熟加工工艺，引进“千万工程”乡村发展模式，搭建长三角特色产品外销渠道，持续为那曲产业科创、园区运营、全域品牌打造注入外部动能。辽宁省自对口帮扶那曲以来，累计投入产业帮扶资金4.47亿元，落地产业项目40个，示范推广藜麦、芫根、琉璃苣等高原适配经济作物，直接提供就业岗位8000余个，间接带动1.3万余名农牧民增收，在良种改良、经营主体培育、域外市场开拓方面提供坚实支撑。</w:t>
      </w:r>
      <w:bookmarkStart w:id="40" w:name="OLE_LINK47"/>
      <w:r>
        <w:rPr>
          <w:rFonts w:hint="eastAsia" w:ascii="Times New Roman" w:hAnsi="Times New Roman" w:eastAsia="方正仿宋简体" w:cs="方正仿宋简体"/>
          <w:sz w:val="32"/>
          <w:szCs w:val="32"/>
          <w:lang w:val="en-US" w:eastAsia="zh-CN"/>
        </w:rPr>
        <w:t>五大央企自2002年先后定点帮扶</w:t>
      </w:r>
      <w:r>
        <w:rPr>
          <w:rFonts w:hint="eastAsia" w:ascii="Times New Roman" w:hAnsi="Times New Roman" w:eastAsia="方正仿宋简体" w:cs="方正仿宋简体"/>
          <w:sz w:val="32"/>
          <w:szCs w:val="32"/>
          <w:lang w:eastAsia="zh-CN"/>
        </w:rPr>
        <w:t>那曲市西部申扎、尼玛、班戈、双湖及北部聂荣县</w:t>
      </w:r>
      <w:r>
        <w:rPr>
          <w:rFonts w:hint="eastAsia" w:ascii="Times New Roman" w:hAnsi="Times New Roman" w:eastAsia="方正仿宋简体" w:cs="方正仿宋简体"/>
          <w:sz w:val="32"/>
          <w:szCs w:val="32"/>
          <w:lang w:val="en-US" w:eastAsia="zh-CN"/>
        </w:rPr>
        <w:t>，累计落地产业项目54个、配套产业投资1.57亿元，重点布局光伏、盐湖锂、卤虫卵、藏药材等本土优势赛道，</w:t>
      </w:r>
      <w:r>
        <w:rPr>
          <w:rFonts w:hint="eastAsia" w:ascii="Times New Roman" w:hAnsi="Times New Roman" w:eastAsia="方正仿宋简体" w:cs="方正仿宋简体"/>
          <w:sz w:val="32"/>
          <w:szCs w:val="32"/>
          <w:lang w:eastAsia="zh-CN"/>
        </w:rPr>
        <w:t>配套完善牧区电网、冷链仓储基础设施，常态化开展产业技能实训，</w:t>
      </w:r>
      <w:bookmarkStart w:id="41" w:name="OLE_LINK48"/>
      <w:r>
        <w:rPr>
          <w:rFonts w:hint="eastAsia" w:ascii="Times New Roman" w:hAnsi="Times New Roman" w:eastAsia="方正仿宋简体" w:cs="方正仿宋简体"/>
          <w:sz w:val="32"/>
          <w:szCs w:val="32"/>
          <w:lang w:eastAsia="zh-CN"/>
        </w:rPr>
        <w:t>补齐西部片区能源保障、生鲜储运、产业人才、初级加工等产业链配套短板。</w:t>
      </w:r>
    </w:p>
    <w:bookmarkEnd w:id="40"/>
    <w:bookmarkEnd w:id="41"/>
    <w:p w14:paraId="4E69E585">
      <w:pPr>
        <w:pStyle w:val="8"/>
        <w:topLinePunct/>
        <w:autoSpaceDE/>
        <w:autoSpaceDN/>
        <w:spacing w:before="0" w:line="576" w:lineRule="exact"/>
        <w:ind w:left="0" w:firstLine="640" w:firstLineChars="200"/>
        <w:jc w:val="both"/>
        <w:rPr>
          <w:rFonts w:hint="eastAsia" w:ascii="Times New Roman" w:hAnsi="Times New Roman" w:eastAsia="方正仿宋简体" w:cs="方正仿宋简体"/>
          <w:sz w:val="32"/>
          <w:szCs w:val="32"/>
          <w:lang w:val="en-US" w:eastAsia="zh-CN"/>
        </w:rPr>
      </w:pPr>
      <w:r>
        <w:rPr>
          <w:rFonts w:hint="eastAsia" w:ascii="Times New Roman" w:hAnsi="Times New Roman" w:eastAsia="方正仿宋简体" w:cs="方正仿宋简体"/>
          <w:sz w:val="32"/>
          <w:szCs w:val="32"/>
          <w:lang w:val="en-US" w:eastAsia="zh-CN"/>
        </w:rPr>
        <w:t>两省五央企联动形成高原种养、清洁能源、生态文旅、藏医药协同帮扶格局，为全市特色产业全链条培育、农牧民持续稳定增收提供全方位长效外部保障。</w:t>
      </w:r>
    </w:p>
    <w:p w14:paraId="4F970059">
      <w:pPr>
        <w:pStyle w:val="8"/>
        <w:topLinePunct/>
        <w:autoSpaceDE/>
        <w:autoSpaceDN/>
        <w:spacing w:before="0" w:line="576" w:lineRule="exact"/>
        <w:ind w:left="0" w:firstLine="640" w:firstLineChars="200"/>
        <w:jc w:val="both"/>
        <w:outlineLvl w:val="1"/>
        <w:rPr>
          <w:rFonts w:ascii="Times New Roman" w:hAnsi="Times New Roman" w:eastAsia="方正楷体简体" w:cs="方正仿宋简体"/>
          <w:sz w:val="32"/>
          <w:szCs w:val="32"/>
        </w:rPr>
      </w:pPr>
      <w:bookmarkStart w:id="42" w:name="_Toc243241399"/>
      <w:bookmarkStart w:id="43" w:name="OLE_LINK50"/>
      <w:r>
        <w:rPr>
          <w:rFonts w:ascii="Times New Roman" w:hAnsi="Times New Roman" w:eastAsia="方正楷体简体" w:cs="方正仿宋简体"/>
          <w:sz w:val="32"/>
          <w:szCs w:val="32"/>
        </w:rPr>
        <w:t>（八）品牌建设支撑</w:t>
      </w:r>
      <w:bookmarkEnd w:id="42"/>
    </w:p>
    <w:bookmarkEnd w:id="43"/>
    <w:p w14:paraId="50906AC8">
      <w:pPr>
        <w:pStyle w:val="8"/>
        <w:topLinePunct/>
        <w:autoSpaceDE/>
        <w:autoSpaceDN/>
        <w:spacing w:before="0" w:line="576" w:lineRule="exact"/>
        <w:ind w:left="0" w:firstLine="640" w:firstLineChars="200"/>
        <w:jc w:val="both"/>
        <w:rPr>
          <w:rFonts w:hint="eastAsia" w:ascii="方正仿宋简体" w:hAnsi="方正仿宋简体" w:eastAsia="方正仿宋简体" w:cs="方正仿宋简体"/>
          <w:sz w:val="32"/>
          <w:szCs w:val="32"/>
          <w:lang w:val="en-US" w:eastAsia="zh-CN"/>
        </w:rPr>
      </w:pPr>
      <w:r>
        <w:rPr>
          <w:rFonts w:hint="eastAsia" w:ascii="Times New Roman" w:hAnsi="Times New Roman" w:eastAsia="方正仿宋简体" w:cs="方正仿宋简体"/>
          <w:sz w:val="32"/>
          <w:szCs w:val="32"/>
          <w:lang w:val="en-US" w:eastAsia="zh-CN"/>
        </w:rPr>
        <w:t>那曲市已构建层级清晰、特色鲜明的“区域公用品牌+品类特色品牌+企业自主品牌”三级品牌发展体系，那曲特色产业品牌发展根基持续夯实。全域品牌布局基本成型，成功打造“极地那曲”核心区域公用品牌，培育出嘎尔德、嘎确、甲岗拉姆等一批本土特色子品牌。地理标志品牌矩阵日趋完善，全市现有西藏那曲冬虫夏草、嘉黎牦牛、安多绵羊、安多羊毛4个国家地理标志保护产品，以及那曲牦牛、班戈色瓦绵羊、聂荣拉拉等18个地理标志证明商标。其中，那曲冬虫夏草入选首批中国消费名品、国家地理标志运用促进重点联系指导名录，同步通过地方立法实现制度化、规范化保护，品牌国家级认可度持续提升。产品品质管控体系落地见效，全市重点畜产品、高原特色物产已全面推行标准化生产与溯源管理，龙头企业相继取得有机产品、食品安全、质量管理体系等权威认证，筑牢品牌品质核心支撑。线上线下一体化品牌推广格局基本形成，依托主流电商平台、援藏省市展销渠道、跨境流通网络常态化开展品牌推介，持续稳固国内主流市场、拓展港澳及东南亚海外市场，特色产品市场辨识度、公信力和品牌溢价能力稳步提升，为全市特色产业市场化、高端化、规模化发展提供坚实品牌支撑。</w:t>
      </w:r>
    </w:p>
    <w:p w14:paraId="4F5D6CEC">
      <w:pPr>
        <w:pStyle w:val="8"/>
        <w:topLinePunct/>
        <w:autoSpaceDE/>
        <w:autoSpaceDN/>
        <w:spacing w:before="0" w:line="576" w:lineRule="exact"/>
        <w:ind w:left="0" w:firstLine="640" w:firstLineChars="200"/>
        <w:jc w:val="both"/>
        <w:outlineLvl w:val="0"/>
        <w:rPr>
          <w:rFonts w:ascii="Times New Roman" w:hAnsi="Times New Roman" w:eastAsia="方正黑体简体" w:cs="方正仿宋简体"/>
          <w:sz w:val="32"/>
          <w:szCs w:val="32"/>
          <w:lang w:val="en-US" w:eastAsia="zh-CN"/>
        </w:rPr>
      </w:pPr>
      <w:bookmarkStart w:id="44" w:name="_Toc243241400"/>
      <w:r>
        <w:rPr>
          <w:rFonts w:hint="eastAsia" w:ascii="Times New Roman" w:hAnsi="Times New Roman" w:eastAsia="方正黑体简体" w:cs="方正仿宋简体"/>
          <w:sz w:val="32"/>
          <w:szCs w:val="32"/>
          <w:lang w:val="en-US" w:eastAsia="zh-CN"/>
        </w:rPr>
        <w:t>五、主要依据</w:t>
      </w:r>
      <w:bookmarkEnd w:id="44"/>
    </w:p>
    <w:p w14:paraId="4E2873A6">
      <w:pPr>
        <w:pStyle w:val="8"/>
        <w:topLinePunct/>
        <w:autoSpaceDE/>
        <w:autoSpaceDN/>
        <w:spacing w:before="0" w:line="576" w:lineRule="exact"/>
        <w:ind w:left="0" w:firstLine="640" w:firstLineChars="200"/>
        <w:jc w:val="both"/>
        <w:rPr>
          <w:rFonts w:ascii="Times New Roman" w:hAnsi="Times New Roman" w:eastAsia="方正仿宋简体" w:cs="方正仿宋简体"/>
          <w:sz w:val="32"/>
          <w:szCs w:val="32"/>
          <w:lang w:val="en-US" w:eastAsia="zh-CN"/>
        </w:rPr>
      </w:pPr>
      <w:r>
        <w:rPr>
          <w:rFonts w:ascii="Times New Roman" w:hAnsi="Times New Roman" w:eastAsia="方正仿宋简体" w:cs="方正仿宋简体"/>
          <w:sz w:val="32"/>
          <w:szCs w:val="32"/>
          <w:lang w:val="en-US" w:eastAsia="zh-CN"/>
        </w:rPr>
        <w:t>《目录》编制严格遵循上位法律法规、中央及自治区顶层部署、市级战略安排、资源现实基础、市场发展规律五大维度，全面对标现行法定规范与政策文件，统筹衔接前期产业支撑板块内容，规避重复赘述，形成法理、政策、资源、市场、实践</w:t>
      </w:r>
      <w:r>
        <w:rPr>
          <w:rFonts w:hint="eastAsia" w:ascii="Times New Roman" w:hAnsi="Times New Roman" w:eastAsia="方正仿宋简体" w:cs="方正仿宋简体"/>
          <w:sz w:val="32"/>
          <w:szCs w:val="32"/>
          <w:lang w:val="en-US" w:eastAsia="zh-CN"/>
        </w:rPr>
        <w:t>“五位一体”</w:t>
      </w:r>
      <w:r>
        <w:rPr>
          <w:rFonts w:ascii="Times New Roman" w:hAnsi="Times New Roman" w:eastAsia="方正仿宋简体" w:cs="方正仿宋简体"/>
          <w:sz w:val="32"/>
          <w:szCs w:val="32"/>
          <w:lang w:val="en-US" w:eastAsia="zh-CN"/>
        </w:rPr>
        <w:t>完整编制依据体系。</w:t>
      </w:r>
    </w:p>
    <w:p w14:paraId="00E97FF3">
      <w:pPr>
        <w:pStyle w:val="8"/>
        <w:topLinePunct/>
        <w:autoSpaceDE/>
        <w:autoSpaceDN/>
        <w:spacing w:before="0" w:line="576" w:lineRule="exact"/>
        <w:ind w:left="0" w:firstLine="640" w:firstLineChars="200"/>
        <w:jc w:val="both"/>
        <w:outlineLvl w:val="1"/>
        <w:rPr>
          <w:rFonts w:ascii="Times New Roman" w:hAnsi="Times New Roman" w:eastAsia="方正楷体简体" w:cs="方正仿宋简体"/>
          <w:sz w:val="32"/>
          <w:szCs w:val="32"/>
        </w:rPr>
      </w:pPr>
      <w:bookmarkStart w:id="45" w:name="_Toc243241401"/>
      <w:r>
        <w:rPr>
          <w:rFonts w:ascii="Times New Roman" w:hAnsi="Times New Roman" w:eastAsia="方正楷体简体" w:cs="方正仿宋简体"/>
          <w:sz w:val="32"/>
          <w:szCs w:val="32"/>
        </w:rPr>
        <w:t>（一）法理法律依据</w:t>
      </w:r>
      <w:bookmarkEnd w:id="45"/>
    </w:p>
    <w:p w14:paraId="18DE3C2F">
      <w:pPr>
        <w:pStyle w:val="8"/>
        <w:topLinePunct/>
        <w:autoSpaceDE/>
        <w:autoSpaceDN/>
        <w:spacing w:before="0" w:line="576" w:lineRule="exact"/>
        <w:ind w:left="0" w:firstLine="640" w:firstLineChars="200"/>
        <w:jc w:val="both"/>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1</w:t>
      </w:r>
      <w:r>
        <w:rPr>
          <w:rFonts w:hint="eastAsia" w:ascii="Times New Roman" w:hAnsi="Times New Roman" w:eastAsia="方正仿宋简体" w:cs="方正仿宋简体"/>
          <w:sz w:val="32"/>
          <w:szCs w:val="32"/>
          <w:lang w:eastAsia="zh-CN"/>
        </w:rPr>
        <w:t>．</w:t>
      </w:r>
      <w:r>
        <w:rPr>
          <w:rFonts w:ascii="Times New Roman" w:hAnsi="Times New Roman" w:eastAsia="方正仿宋简体" w:cs="方正仿宋简体"/>
          <w:sz w:val="32"/>
          <w:szCs w:val="32"/>
        </w:rPr>
        <w:t>国家层面法律法规</w:t>
      </w:r>
    </w:p>
    <w:p w14:paraId="20B7A5AD">
      <w:pPr>
        <w:pStyle w:val="8"/>
        <w:topLinePunct/>
        <w:autoSpaceDE/>
        <w:autoSpaceDN/>
        <w:spacing w:before="0" w:line="576" w:lineRule="exact"/>
        <w:ind w:left="0" w:firstLine="640" w:firstLineChars="200"/>
        <w:jc w:val="both"/>
        <w:rPr>
          <w:rFonts w:ascii="Times New Roman" w:hAnsi="Times New Roman" w:eastAsia="方正仿宋简体" w:cs="方正仿宋简体"/>
          <w:sz w:val="32"/>
          <w:szCs w:val="32"/>
          <w:lang w:val="en-US" w:eastAsia="zh-CN"/>
        </w:rPr>
      </w:pPr>
      <w:r>
        <w:rPr>
          <w:rFonts w:ascii="Times New Roman" w:hAnsi="Times New Roman" w:eastAsia="方正仿宋简体" w:cs="方正仿宋简体"/>
          <w:sz w:val="32"/>
          <w:szCs w:val="32"/>
        </w:rPr>
        <w:t>《中华人民共和国青藏高原生态保护法》</w:t>
      </w:r>
      <w:r>
        <w:rPr>
          <w:rFonts w:ascii="Times New Roman" w:hAnsi="Times New Roman" w:eastAsia="方正仿宋简体" w:cs="方正仿宋简体"/>
          <w:sz w:val="32"/>
          <w:szCs w:val="32"/>
          <w:lang w:val="en-US" w:eastAsia="zh-CN"/>
        </w:rPr>
        <w:t>《中华人民共和国乡村振兴促进法》《中华人民共和国中小企业促进法》</w:t>
      </w:r>
      <w:r>
        <w:rPr>
          <w:rFonts w:ascii="Times New Roman" w:hAnsi="Times New Roman" w:eastAsia="方正仿宋简体" w:cs="方正仿宋简体"/>
          <w:sz w:val="32"/>
          <w:szCs w:val="32"/>
        </w:rPr>
        <w:t>《中华人民共和国民族区域自治法》</w:t>
      </w:r>
      <w:r>
        <w:rPr>
          <w:rFonts w:ascii="Times New Roman" w:hAnsi="Times New Roman" w:eastAsia="方正仿宋简体" w:cs="方正仿宋简体"/>
          <w:sz w:val="32"/>
          <w:szCs w:val="32"/>
          <w:lang w:val="en-US" w:eastAsia="zh-CN"/>
        </w:rPr>
        <w:t>等。其中</w:t>
      </w:r>
      <w:r>
        <w:rPr>
          <w:rFonts w:hint="eastAsia" w:ascii="Times New Roman" w:hAnsi="Times New Roman" w:eastAsia="方正仿宋简体" w:cs="方正仿宋简体"/>
          <w:sz w:val="32"/>
          <w:szCs w:val="32"/>
          <w:lang w:val="en-US" w:eastAsia="zh-CN"/>
        </w:rPr>
        <w:t>《中华人民共和国青藏高原生态保护法》</w:t>
      </w:r>
      <w:r>
        <w:rPr>
          <w:rFonts w:ascii="Times New Roman" w:hAnsi="Times New Roman" w:eastAsia="方正仿宋简体" w:cs="方正仿宋简体"/>
          <w:sz w:val="32"/>
          <w:szCs w:val="32"/>
          <w:lang w:val="en-US" w:eastAsia="zh-CN"/>
        </w:rPr>
        <w:t>第十七条明确要求青藏高原优化产业布局，优先发展特色农牧业、生态文旅、民族手工业、清洁能源等环境友好型产业，为</w:t>
      </w:r>
      <w:r>
        <w:rPr>
          <w:rFonts w:hint="eastAsia" w:ascii="Times New Roman" w:hAnsi="Times New Roman" w:eastAsia="方正仿宋简体" w:cs="方正仿宋简体"/>
          <w:sz w:val="32"/>
          <w:szCs w:val="32"/>
          <w:lang w:val="en-US" w:eastAsia="zh-CN"/>
        </w:rPr>
        <w:t>《目录》</w:t>
      </w:r>
      <w:r>
        <w:rPr>
          <w:rFonts w:ascii="Times New Roman" w:hAnsi="Times New Roman" w:eastAsia="方正仿宋简体" w:cs="方正仿宋简体"/>
          <w:sz w:val="32"/>
          <w:szCs w:val="32"/>
          <w:lang w:val="en-US" w:eastAsia="zh-CN"/>
        </w:rPr>
        <w:t>产业准入、空间管控、开发强度划定法定刚性约束。</w:t>
      </w:r>
    </w:p>
    <w:p w14:paraId="405BB195">
      <w:pPr>
        <w:pStyle w:val="8"/>
        <w:topLinePunct/>
        <w:autoSpaceDE/>
        <w:autoSpaceDN/>
        <w:spacing w:before="0" w:line="576" w:lineRule="exact"/>
        <w:ind w:left="0" w:firstLine="640" w:firstLineChars="200"/>
        <w:jc w:val="both"/>
        <w:rPr>
          <w:rFonts w:ascii="Times New Roman" w:hAnsi="Times New Roman" w:eastAsia="方正仿宋简体" w:cs="方正仿宋简体"/>
          <w:sz w:val="32"/>
          <w:szCs w:val="32"/>
          <w:lang w:val="en-US" w:eastAsia="zh-CN"/>
        </w:rPr>
      </w:pPr>
      <w:r>
        <w:rPr>
          <w:rFonts w:hint="eastAsia" w:ascii="Times New Roman" w:hAnsi="Times New Roman" w:eastAsia="方正仿宋简体" w:cs="方正仿宋简体"/>
          <w:sz w:val="32"/>
          <w:szCs w:val="32"/>
          <w:lang w:val="en-US" w:eastAsia="zh-CN"/>
        </w:rPr>
        <w:t>2</w:t>
      </w:r>
      <w:r>
        <w:rPr>
          <w:rFonts w:hint="eastAsia" w:ascii="Times New Roman" w:hAnsi="Times New Roman" w:eastAsia="方正仿宋简体" w:cs="方正仿宋简体"/>
          <w:sz w:val="32"/>
          <w:szCs w:val="32"/>
          <w:lang w:eastAsia="zh-CN"/>
        </w:rPr>
        <w:t>．</w:t>
      </w:r>
      <w:r>
        <w:rPr>
          <w:rFonts w:ascii="Times New Roman" w:hAnsi="Times New Roman" w:eastAsia="方正仿宋简体" w:cs="方正仿宋简体"/>
          <w:sz w:val="32"/>
          <w:szCs w:val="32"/>
          <w:lang w:val="en-US" w:eastAsia="zh-CN"/>
        </w:rPr>
        <w:t>国家</w:t>
      </w:r>
      <w:r>
        <w:rPr>
          <w:rFonts w:ascii="Times New Roman" w:hAnsi="Times New Roman" w:eastAsia="方正仿宋简体" w:cs="方正仿宋简体"/>
          <w:sz w:val="32"/>
          <w:szCs w:val="32"/>
        </w:rPr>
        <w:t>产业</w:t>
      </w:r>
      <w:r>
        <w:rPr>
          <w:rFonts w:ascii="Times New Roman" w:hAnsi="Times New Roman" w:eastAsia="方正仿宋简体" w:cs="方正仿宋简体"/>
          <w:sz w:val="32"/>
          <w:szCs w:val="32"/>
          <w:lang w:val="en-US" w:eastAsia="zh-CN"/>
        </w:rPr>
        <w:t>规范文件</w:t>
      </w:r>
    </w:p>
    <w:p w14:paraId="18B86727">
      <w:pPr>
        <w:pStyle w:val="8"/>
        <w:topLinePunct/>
        <w:autoSpaceDE/>
        <w:autoSpaceDN/>
        <w:spacing w:before="0" w:line="576" w:lineRule="exact"/>
        <w:ind w:left="0" w:firstLine="640" w:firstLineChars="200"/>
        <w:jc w:val="both"/>
        <w:rPr>
          <w:rFonts w:ascii="Times New Roman" w:hAnsi="Times New Roman" w:eastAsia="方正仿宋简体" w:cs="方正仿宋简体"/>
          <w:sz w:val="32"/>
          <w:szCs w:val="32"/>
          <w:lang w:val="en-US" w:eastAsia="zh-CN"/>
        </w:rPr>
      </w:pPr>
      <w:r>
        <w:rPr>
          <w:rFonts w:ascii="Times New Roman" w:hAnsi="Times New Roman" w:eastAsia="方正仿宋简体" w:cs="方正仿宋简体"/>
          <w:sz w:val="32"/>
          <w:szCs w:val="32"/>
        </w:rPr>
        <w:t>《西部地区鼓励类产业目录（2025年本）》</w:t>
      </w:r>
      <w:r>
        <w:rPr>
          <w:rFonts w:ascii="Times New Roman" w:hAnsi="Times New Roman" w:eastAsia="方正仿宋简体" w:cs="方正仿宋简体"/>
          <w:sz w:val="32"/>
          <w:szCs w:val="32"/>
          <w:lang w:val="en-US" w:eastAsia="zh-CN"/>
        </w:rPr>
        <w:t>《产业结构调整指导目录（2024年本）》，精准界定西藏高原种养、藏医药、风光储能、天然饮用水、低空物流等鼓励类产业边界，作为产业扶持、税</w:t>
      </w:r>
      <w:r>
        <w:rPr>
          <w:rFonts w:hint="eastAsia" w:ascii="Times New Roman" w:hAnsi="Times New Roman" w:eastAsia="方正仿宋简体" w:cs="方正仿宋简体"/>
          <w:sz w:val="32"/>
          <w:szCs w:val="32"/>
          <w:lang w:val="en-US" w:eastAsia="zh-CN"/>
        </w:rPr>
        <w:t>费</w:t>
      </w:r>
      <w:r>
        <w:rPr>
          <w:rFonts w:ascii="Times New Roman" w:hAnsi="Times New Roman" w:eastAsia="方正仿宋简体" w:cs="方正仿宋简体"/>
          <w:sz w:val="32"/>
          <w:szCs w:val="32"/>
          <w:lang w:val="en-US" w:eastAsia="zh-CN"/>
        </w:rPr>
        <w:t>减免、项目审批法定判定标准。</w:t>
      </w:r>
    </w:p>
    <w:p w14:paraId="755A0002">
      <w:pPr>
        <w:pStyle w:val="8"/>
        <w:topLinePunct/>
        <w:autoSpaceDE/>
        <w:autoSpaceDN/>
        <w:spacing w:before="0" w:line="576" w:lineRule="exact"/>
        <w:ind w:left="0" w:firstLine="640" w:firstLineChars="200"/>
        <w:jc w:val="both"/>
        <w:rPr>
          <w:rFonts w:ascii="Times New Roman" w:hAnsi="Times New Roman" w:eastAsia="方正仿宋简体" w:cs="方正仿宋简体"/>
          <w:sz w:val="32"/>
          <w:szCs w:val="32"/>
          <w:lang w:val="en-US" w:eastAsia="zh-CN"/>
        </w:rPr>
      </w:pPr>
      <w:bookmarkStart w:id="46" w:name="OLE_LINK52"/>
      <w:r>
        <w:rPr>
          <w:rFonts w:hint="eastAsia" w:ascii="Times New Roman" w:hAnsi="Times New Roman" w:eastAsia="方正仿宋简体" w:cs="方正仿宋简体"/>
          <w:sz w:val="32"/>
          <w:szCs w:val="32"/>
          <w:lang w:val="en-US" w:eastAsia="zh-CN"/>
        </w:rPr>
        <w:t>3</w:t>
      </w:r>
      <w:r>
        <w:rPr>
          <w:rFonts w:hint="eastAsia" w:ascii="Times New Roman" w:hAnsi="Times New Roman" w:eastAsia="方正仿宋简体" w:cs="方正仿宋简体"/>
          <w:sz w:val="32"/>
          <w:szCs w:val="32"/>
          <w:lang w:eastAsia="zh-CN"/>
        </w:rPr>
        <w:t>．</w:t>
      </w:r>
      <w:r>
        <w:rPr>
          <w:rFonts w:ascii="Times New Roman" w:hAnsi="Times New Roman" w:eastAsia="方正仿宋简体" w:cs="方正仿宋简体"/>
          <w:sz w:val="32"/>
          <w:szCs w:val="32"/>
          <w:lang w:val="en-US" w:eastAsia="zh-CN"/>
        </w:rPr>
        <w:t>自治区</w:t>
      </w:r>
      <w:r>
        <w:rPr>
          <w:rFonts w:ascii="Times New Roman" w:hAnsi="Times New Roman" w:eastAsia="方正仿宋简体" w:cs="方正仿宋简体"/>
          <w:sz w:val="32"/>
          <w:szCs w:val="32"/>
        </w:rPr>
        <w:t>专项</w:t>
      </w:r>
      <w:r>
        <w:rPr>
          <w:rFonts w:ascii="Times New Roman" w:hAnsi="Times New Roman" w:eastAsia="方正仿宋简体" w:cs="方正仿宋简体"/>
          <w:sz w:val="32"/>
          <w:szCs w:val="32"/>
          <w:lang w:val="en-US" w:eastAsia="zh-CN"/>
        </w:rPr>
        <w:t>法规规章</w:t>
      </w:r>
      <w:r>
        <w:rPr>
          <w:rFonts w:hint="eastAsia" w:ascii="Times New Roman" w:hAnsi="Times New Roman" w:eastAsia="方正仿宋简体" w:cs="方正仿宋简体"/>
          <w:sz w:val="32"/>
          <w:szCs w:val="32"/>
          <w:lang w:val="en-US" w:eastAsia="zh-CN"/>
        </w:rPr>
        <w:t>政策</w:t>
      </w:r>
    </w:p>
    <w:p w14:paraId="18BF3973">
      <w:pPr>
        <w:pStyle w:val="8"/>
        <w:topLinePunct/>
        <w:autoSpaceDE/>
        <w:autoSpaceDN/>
        <w:spacing w:before="0" w:line="576" w:lineRule="exact"/>
        <w:ind w:left="0" w:firstLine="640" w:firstLineChars="200"/>
        <w:jc w:val="both"/>
        <w:rPr>
          <w:rFonts w:ascii="Times New Roman" w:hAnsi="Times New Roman" w:eastAsia="方正仿宋简体" w:cs="方正仿宋简体"/>
          <w:sz w:val="32"/>
          <w:szCs w:val="32"/>
          <w:lang w:val="en-US" w:eastAsia="zh-CN"/>
        </w:rPr>
      </w:pPr>
      <w:r>
        <w:rPr>
          <w:rFonts w:ascii="Times New Roman" w:hAnsi="Times New Roman" w:eastAsia="方正仿宋简体" w:cs="方正仿宋简体"/>
          <w:sz w:val="32"/>
          <w:szCs w:val="32"/>
          <w:lang w:val="en-US" w:eastAsia="zh-CN"/>
        </w:rPr>
        <w:t>《西藏自治区实施〈中华人民共和国青藏高原生态保护法〉办法》《西藏自治区促进中小企业发展条例》《西藏自治区冰川保护条例》</w:t>
      </w:r>
      <w:r>
        <w:rPr>
          <w:rFonts w:ascii="Times New Roman" w:hAnsi="Times New Roman" w:eastAsia="方正仿宋简体" w:cs="方正仿宋简体"/>
          <w:sz w:val="32"/>
          <w:szCs w:val="32"/>
        </w:rPr>
        <w:t>《西藏自治区绿色矿山建设若干措施》</w:t>
      </w:r>
      <w:r>
        <w:rPr>
          <w:rFonts w:ascii="Times New Roman" w:hAnsi="Times New Roman" w:eastAsia="方正仿宋简体" w:cs="方正仿宋简体"/>
          <w:sz w:val="32"/>
          <w:szCs w:val="32"/>
          <w:lang w:val="en-US" w:eastAsia="zh-CN"/>
        </w:rPr>
        <w:t>等地方性法规</w:t>
      </w:r>
      <w:r>
        <w:rPr>
          <w:rFonts w:ascii="Times New Roman" w:hAnsi="Times New Roman" w:eastAsia="方正仿宋简体" w:cs="方正仿宋简体"/>
          <w:sz w:val="32"/>
          <w:szCs w:val="32"/>
          <w:lang w:eastAsia="zh-CN"/>
        </w:rPr>
        <w:t>、规章和相关政策，</w:t>
      </w:r>
      <w:r>
        <w:rPr>
          <w:rFonts w:ascii="Times New Roman" w:hAnsi="Times New Roman" w:eastAsia="方正仿宋简体" w:cs="方正仿宋简体"/>
          <w:sz w:val="32"/>
          <w:szCs w:val="32"/>
          <w:lang w:val="en-US" w:eastAsia="zh-CN"/>
        </w:rPr>
        <w:t>规范高原资源开发、生态修复、市场主体培育全流程。</w:t>
      </w:r>
    </w:p>
    <w:bookmarkEnd w:id="46"/>
    <w:p w14:paraId="7B0BB9D4">
      <w:pPr>
        <w:pStyle w:val="8"/>
        <w:topLinePunct/>
        <w:autoSpaceDE/>
        <w:autoSpaceDN/>
        <w:spacing w:before="0" w:line="576" w:lineRule="exact"/>
        <w:ind w:left="0" w:firstLine="640" w:firstLineChars="200"/>
        <w:jc w:val="both"/>
        <w:rPr>
          <w:rFonts w:ascii="Times New Roman" w:hAnsi="Times New Roman" w:eastAsia="方正仿宋简体" w:cs="方正仿宋简体"/>
          <w:sz w:val="32"/>
          <w:szCs w:val="32"/>
          <w:lang w:val="en-US" w:eastAsia="zh-CN"/>
        </w:rPr>
      </w:pPr>
      <w:r>
        <w:rPr>
          <w:rFonts w:hint="eastAsia" w:ascii="Times New Roman" w:hAnsi="Times New Roman" w:eastAsia="方正仿宋简体" w:cs="方正仿宋简体"/>
          <w:sz w:val="32"/>
          <w:szCs w:val="32"/>
          <w:lang w:val="en-US" w:eastAsia="zh-CN"/>
        </w:rPr>
        <w:t>4</w:t>
      </w:r>
      <w:r>
        <w:rPr>
          <w:rFonts w:hint="eastAsia" w:ascii="Times New Roman" w:hAnsi="Times New Roman" w:eastAsia="方正仿宋简体" w:cs="方正仿宋简体"/>
          <w:sz w:val="32"/>
          <w:szCs w:val="32"/>
          <w:lang w:eastAsia="zh-CN"/>
        </w:rPr>
        <w:t>．</w:t>
      </w:r>
      <w:r>
        <w:rPr>
          <w:rFonts w:ascii="Times New Roman" w:hAnsi="Times New Roman" w:eastAsia="方正仿宋简体" w:cs="方正仿宋简体"/>
          <w:sz w:val="32"/>
          <w:szCs w:val="32"/>
          <w:lang w:val="en-US" w:eastAsia="zh-CN"/>
        </w:rPr>
        <w:t>市级</w:t>
      </w:r>
      <w:r>
        <w:rPr>
          <w:rFonts w:ascii="Times New Roman" w:hAnsi="Times New Roman" w:eastAsia="方正仿宋简体" w:cs="方正仿宋简体"/>
          <w:sz w:val="32"/>
          <w:szCs w:val="32"/>
        </w:rPr>
        <w:t>专项</w:t>
      </w:r>
      <w:r>
        <w:rPr>
          <w:rFonts w:ascii="Times New Roman" w:hAnsi="Times New Roman" w:eastAsia="方正仿宋简体" w:cs="方正仿宋简体"/>
          <w:sz w:val="32"/>
          <w:szCs w:val="32"/>
          <w:lang w:val="en-US" w:eastAsia="zh-CN"/>
        </w:rPr>
        <w:t>条例</w:t>
      </w:r>
    </w:p>
    <w:p w14:paraId="0BE4FE0B">
      <w:pPr>
        <w:pStyle w:val="8"/>
        <w:topLinePunct/>
        <w:autoSpaceDE/>
        <w:autoSpaceDN/>
        <w:spacing w:before="0" w:line="576" w:lineRule="exact"/>
        <w:ind w:left="0" w:firstLine="640" w:firstLineChars="200"/>
        <w:jc w:val="both"/>
        <w:rPr>
          <w:rFonts w:ascii="Times New Roman" w:hAnsi="Times New Roman" w:eastAsia="方正仿宋简体" w:cs="方正仿宋简体"/>
          <w:sz w:val="32"/>
          <w:szCs w:val="32"/>
          <w:lang w:val="en-US" w:eastAsia="zh-CN"/>
        </w:rPr>
      </w:pPr>
      <w:r>
        <w:rPr>
          <w:rFonts w:ascii="Times New Roman" w:hAnsi="Times New Roman" w:eastAsia="方正仿宋简体" w:cs="方正仿宋简体"/>
          <w:sz w:val="32"/>
          <w:szCs w:val="32"/>
        </w:rPr>
        <w:t>《那曲市冬虫夏草保护管理条例》《那曲市色林错湖泊保护条例（草案）》《那曲市饮用水水源地保护条例（草案）》</w:t>
      </w:r>
      <w:r>
        <w:rPr>
          <w:rFonts w:ascii="Times New Roman" w:hAnsi="Times New Roman" w:eastAsia="方正仿宋简体" w:cs="方正仿宋简体"/>
          <w:sz w:val="32"/>
          <w:szCs w:val="32"/>
          <w:lang w:val="en-US" w:eastAsia="zh-CN"/>
        </w:rPr>
        <w:t>，为道地药材资源管护、标准化采挖</w:t>
      </w:r>
      <w:r>
        <w:rPr>
          <w:rFonts w:hint="eastAsia" w:ascii="Times New Roman" w:hAnsi="Times New Roman" w:eastAsia="方正仿宋简体" w:cs="方正仿宋简体"/>
          <w:sz w:val="32"/>
          <w:szCs w:val="32"/>
          <w:lang w:val="en-US" w:eastAsia="zh-CN"/>
        </w:rPr>
        <w:t>，</w:t>
      </w:r>
      <w:r>
        <w:rPr>
          <w:rFonts w:ascii="Times New Roman" w:hAnsi="Times New Roman" w:eastAsia="方正仿宋简体" w:cs="方正仿宋简体"/>
          <w:sz w:val="32"/>
          <w:szCs w:val="32"/>
          <w:lang w:eastAsia="zh-CN"/>
        </w:rPr>
        <w:t>生态畜牧、盐湖潜力产业</w:t>
      </w:r>
      <w:r>
        <w:rPr>
          <w:rFonts w:hint="eastAsia" w:ascii="Times New Roman" w:hAnsi="Times New Roman" w:eastAsia="方正仿宋简体" w:cs="方正仿宋简体"/>
          <w:sz w:val="32"/>
          <w:szCs w:val="32"/>
          <w:lang w:eastAsia="zh-CN"/>
        </w:rPr>
        <w:t>以及</w:t>
      </w:r>
      <w:r>
        <w:rPr>
          <w:rFonts w:ascii="Times New Roman" w:hAnsi="Times New Roman" w:eastAsia="方正仿宋简体" w:cs="方正仿宋简体"/>
          <w:sz w:val="32"/>
          <w:szCs w:val="32"/>
          <w:lang w:eastAsia="zh-CN"/>
        </w:rPr>
        <w:t>地下优质水源保护提供前置立法遵循。</w:t>
      </w:r>
    </w:p>
    <w:p w14:paraId="6AF2A191">
      <w:pPr>
        <w:pStyle w:val="8"/>
        <w:topLinePunct/>
        <w:autoSpaceDE/>
        <w:autoSpaceDN/>
        <w:spacing w:before="0" w:line="576" w:lineRule="exact"/>
        <w:ind w:left="0" w:firstLine="640" w:firstLineChars="200"/>
        <w:jc w:val="both"/>
        <w:outlineLvl w:val="1"/>
        <w:rPr>
          <w:rFonts w:ascii="Times New Roman" w:hAnsi="Times New Roman" w:eastAsia="方正楷体简体" w:cs="方正仿宋简体"/>
          <w:sz w:val="32"/>
          <w:szCs w:val="32"/>
        </w:rPr>
      </w:pPr>
      <w:bookmarkStart w:id="47" w:name="_Toc243241402"/>
      <w:bookmarkStart w:id="48" w:name="OLE_LINK56"/>
      <w:r>
        <w:rPr>
          <w:rFonts w:ascii="Times New Roman" w:hAnsi="Times New Roman" w:eastAsia="方正楷体简体" w:cs="方正仿宋简体"/>
          <w:sz w:val="32"/>
          <w:szCs w:val="32"/>
        </w:rPr>
        <w:t>（二）顶层政策与编制依据</w:t>
      </w:r>
      <w:bookmarkEnd w:id="47"/>
    </w:p>
    <w:p w14:paraId="792D3301">
      <w:pPr>
        <w:pStyle w:val="8"/>
        <w:topLinePunct/>
        <w:autoSpaceDE/>
        <w:autoSpaceDN/>
        <w:spacing w:before="0" w:line="576" w:lineRule="exact"/>
        <w:ind w:left="0" w:firstLine="640" w:firstLineChars="200"/>
        <w:jc w:val="both"/>
        <w:rPr>
          <w:rFonts w:ascii="Times New Roman" w:hAnsi="Times New Roman" w:eastAsia="方正仿宋简体" w:cs="方正仿宋简体"/>
          <w:sz w:val="32"/>
          <w:szCs w:val="32"/>
          <w:lang w:val="en-US" w:eastAsia="zh-CN"/>
        </w:rPr>
      </w:pPr>
      <w:r>
        <w:rPr>
          <w:rFonts w:ascii="Times New Roman" w:hAnsi="Times New Roman" w:eastAsia="方正仿宋简体" w:cs="方正仿宋简体"/>
          <w:sz w:val="32"/>
          <w:szCs w:val="32"/>
          <w:lang w:val="en-US" w:eastAsia="zh-CN"/>
        </w:rPr>
        <w:t>1</w:t>
      </w:r>
      <w:r>
        <w:rPr>
          <w:rFonts w:hint="eastAsia" w:ascii="Times New Roman" w:hAnsi="Times New Roman" w:eastAsia="方正仿宋简体" w:cs="方正仿宋简体"/>
          <w:sz w:val="32"/>
          <w:szCs w:val="32"/>
          <w:lang w:eastAsia="zh-CN"/>
        </w:rPr>
        <w:t>．</w:t>
      </w:r>
      <w:r>
        <w:rPr>
          <w:rFonts w:ascii="Times New Roman" w:hAnsi="Times New Roman" w:eastAsia="方正仿宋简体" w:cs="方正仿宋简体"/>
          <w:sz w:val="32"/>
          <w:szCs w:val="32"/>
          <w:lang w:val="en-US" w:eastAsia="zh-CN"/>
        </w:rPr>
        <w:t>中央顶层部署</w:t>
      </w:r>
    </w:p>
    <w:bookmarkEnd w:id="48"/>
    <w:p w14:paraId="560AACF7">
      <w:pPr>
        <w:pStyle w:val="8"/>
        <w:topLinePunct/>
        <w:autoSpaceDE/>
        <w:autoSpaceDN/>
        <w:spacing w:before="0" w:line="576" w:lineRule="exact"/>
        <w:ind w:left="0" w:firstLine="640" w:firstLineChars="200"/>
        <w:jc w:val="both"/>
        <w:rPr>
          <w:rFonts w:hint="eastAsia" w:ascii="Times New Roman" w:hAnsi="Times New Roman" w:eastAsia="方正仿宋简体" w:cs="方正仿宋简体"/>
          <w:sz w:val="32"/>
          <w:szCs w:val="32"/>
          <w:lang w:val="en-US" w:eastAsia="zh-CN"/>
        </w:rPr>
      </w:pPr>
      <w:r>
        <w:rPr>
          <w:rFonts w:hint="eastAsia" w:ascii="Times New Roman" w:hAnsi="Times New Roman" w:eastAsia="方正仿宋简体" w:cs="方正仿宋简体"/>
          <w:sz w:val="32"/>
          <w:szCs w:val="32"/>
          <w:lang w:eastAsia="zh-CN"/>
        </w:rPr>
        <w:t>深入</w:t>
      </w:r>
      <w:r>
        <w:rPr>
          <w:rFonts w:hint="eastAsia" w:ascii="Times New Roman" w:hAnsi="Times New Roman" w:eastAsia="方正仿宋简体" w:cs="方正仿宋简体"/>
          <w:sz w:val="32"/>
          <w:szCs w:val="32"/>
        </w:rPr>
        <w:t>贯彻</w:t>
      </w:r>
      <w:r>
        <w:rPr>
          <w:rFonts w:hint="eastAsia" w:ascii="Times New Roman" w:hAnsi="Times New Roman" w:eastAsia="方正仿宋简体" w:cs="方正仿宋简体"/>
          <w:sz w:val="32"/>
          <w:szCs w:val="32"/>
          <w:lang w:eastAsia="zh-CN"/>
        </w:rPr>
        <w:t>新时代党的治藏方略、中央第七次西藏工作座谈会精神，落实习近平总书记关于西藏工作的重要指示以及“因地制宜发展高原特色优势产业”重要指示，紧扣“三个赋予一个有利于”总要求，聚焦稳定、发展、生态、强边“四件大事”，依托自治区第十次党代会把“四件大事”具体化、载体化形成的“四个创建”奋斗目标统筹推进各项工作，以西部大开发、乡村振兴、“东数西算”、低空空域改革、对口援藏等国家重大战略为顶层指引。</w:t>
      </w:r>
    </w:p>
    <w:p w14:paraId="729A6674">
      <w:pPr>
        <w:pStyle w:val="8"/>
        <w:topLinePunct/>
        <w:autoSpaceDE/>
        <w:autoSpaceDN/>
        <w:spacing w:before="0" w:line="576" w:lineRule="exact"/>
        <w:ind w:left="0" w:firstLine="640" w:firstLineChars="200"/>
        <w:jc w:val="both"/>
        <w:rPr>
          <w:rFonts w:ascii="Times New Roman" w:hAnsi="Times New Roman" w:eastAsia="方正仿宋简体" w:cs="方正仿宋简体"/>
          <w:sz w:val="32"/>
          <w:szCs w:val="32"/>
          <w:lang w:val="en-US" w:eastAsia="zh-CN"/>
        </w:rPr>
      </w:pPr>
      <w:r>
        <w:rPr>
          <w:rFonts w:ascii="Times New Roman" w:hAnsi="Times New Roman" w:eastAsia="方正仿宋简体" w:cs="方正仿宋简体"/>
          <w:sz w:val="32"/>
          <w:szCs w:val="32"/>
          <w:lang w:val="en-US" w:eastAsia="zh-CN"/>
        </w:rPr>
        <w:t>2</w:t>
      </w:r>
      <w:r>
        <w:rPr>
          <w:rFonts w:hint="eastAsia" w:ascii="Times New Roman" w:hAnsi="Times New Roman" w:eastAsia="方正仿宋简体" w:cs="方正仿宋简体"/>
          <w:sz w:val="32"/>
          <w:szCs w:val="32"/>
          <w:lang w:eastAsia="zh-CN"/>
        </w:rPr>
        <w:t>．</w:t>
      </w:r>
      <w:r>
        <w:rPr>
          <w:rFonts w:ascii="Times New Roman" w:hAnsi="Times New Roman" w:eastAsia="方正仿宋简体" w:cs="方正仿宋简体"/>
          <w:sz w:val="32"/>
          <w:szCs w:val="32"/>
          <w:lang w:val="en-US" w:eastAsia="zh-CN"/>
        </w:rPr>
        <w:t>自治区规划文件</w:t>
      </w:r>
    </w:p>
    <w:p w14:paraId="28597178">
      <w:pPr>
        <w:pStyle w:val="8"/>
        <w:topLinePunct/>
        <w:autoSpaceDE/>
        <w:autoSpaceDN/>
        <w:spacing w:before="0" w:line="576" w:lineRule="exact"/>
        <w:ind w:left="0" w:firstLine="640" w:firstLineChars="200"/>
        <w:jc w:val="both"/>
        <w:rPr>
          <w:rFonts w:ascii="Times New Roman" w:hAnsi="Times New Roman" w:eastAsia="方正仿宋简体" w:cs="方正仿宋简体"/>
          <w:sz w:val="32"/>
          <w:szCs w:val="32"/>
          <w:lang w:val="en-US" w:eastAsia="zh-CN"/>
        </w:rPr>
      </w:pPr>
      <w:r>
        <w:rPr>
          <w:rFonts w:ascii="Times New Roman" w:hAnsi="Times New Roman" w:eastAsia="方正仿宋简体" w:cs="方正仿宋简体"/>
          <w:sz w:val="32"/>
          <w:szCs w:val="32"/>
          <w:lang w:val="en-US" w:eastAsia="zh-CN"/>
        </w:rPr>
        <w:t>对标《西藏自治区国民经济和社会发展第十五个五年规划纲要》</w:t>
      </w:r>
      <w:r>
        <w:rPr>
          <w:rFonts w:ascii="Times New Roman" w:hAnsi="Times New Roman" w:eastAsia="方正仿宋简体" w:cs="方正仿宋简体"/>
          <w:sz w:val="32"/>
          <w:szCs w:val="32"/>
        </w:rPr>
        <w:t>《西藏自治区</w:t>
      </w:r>
      <w:r>
        <w:rPr>
          <w:rFonts w:hint="eastAsia" w:ascii="Times New Roman" w:hAnsi="Times New Roman" w:eastAsia="方正仿宋简体" w:cs="方正仿宋简体"/>
          <w:sz w:val="32"/>
          <w:szCs w:val="32"/>
          <w:lang w:eastAsia="zh-CN"/>
        </w:rPr>
        <w:t>“</w:t>
      </w:r>
      <w:r>
        <w:rPr>
          <w:rFonts w:ascii="Times New Roman" w:hAnsi="Times New Roman" w:eastAsia="方正仿宋简体" w:cs="方正仿宋简体"/>
          <w:sz w:val="32"/>
          <w:szCs w:val="32"/>
        </w:rPr>
        <w:t>十五五</w:t>
      </w:r>
      <w:r>
        <w:rPr>
          <w:rFonts w:hint="eastAsia" w:ascii="Times New Roman" w:hAnsi="Times New Roman" w:eastAsia="方正仿宋简体" w:cs="方正仿宋简体"/>
          <w:sz w:val="32"/>
          <w:szCs w:val="32"/>
          <w:lang w:eastAsia="zh-CN"/>
        </w:rPr>
        <w:t>”</w:t>
      </w:r>
      <w:r>
        <w:rPr>
          <w:rFonts w:ascii="Times New Roman" w:hAnsi="Times New Roman" w:eastAsia="方正仿宋简体" w:cs="方正仿宋简体"/>
          <w:sz w:val="32"/>
          <w:szCs w:val="32"/>
        </w:rPr>
        <w:t>时期产业发展规划》</w:t>
      </w:r>
      <w:r>
        <w:rPr>
          <w:rFonts w:ascii="Times New Roman" w:hAnsi="Times New Roman" w:eastAsia="方正仿宋简体" w:cs="方正仿宋简体"/>
          <w:sz w:val="32"/>
          <w:szCs w:val="32"/>
          <w:lang w:val="en-US" w:eastAsia="zh-CN"/>
        </w:rPr>
        <w:t>，严格围绕高原特色</w:t>
      </w:r>
      <w:bookmarkStart w:id="49" w:name="OLE_LINK104"/>
      <w:r>
        <w:rPr>
          <w:rFonts w:hint="eastAsia" w:ascii="Times New Roman" w:hAnsi="Times New Roman" w:eastAsia="方正仿宋简体" w:cs="方正仿宋简体"/>
          <w:sz w:val="32"/>
          <w:szCs w:val="32"/>
          <w:lang w:val="en-US" w:eastAsia="zh-CN"/>
        </w:rPr>
        <w:t>农牧业</w:t>
      </w:r>
      <w:bookmarkEnd w:id="49"/>
      <w:r>
        <w:rPr>
          <w:rFonts w:ascii="Times New Roman" w:hAnsi="Times New Roman" w:eastAsia="方正仿宋简体" w:cs="方正仿宋简体"/>
          <w:sz w:val="32"/>
          <w:szCs w:val="32"/>
          <w:lang w:val="en-US" w:eastAsia="zh-CN"/>
        </w:rPr>
        <w:t>、清洁能源、文化旅游、藏医药、边贸物流、绿色工业、高新数字、现代服务、通用航空九大产业布局要求；落实自治区</w:t>
      </w:r>
      <w:r>
        <w:rPr>
          <w:rFonts w:hint="eastAsia" w:ascii="Times New Roman" w:hAnsi="Times New Roman" w:eastAsia="方正仿宋简体" w:cs="方正仿宋简体"/>
          <w:sz w:val="32"/>
          <w:szCs w:val="32"/>
          <w:lang w:val="en-US" w:eastAsia="zh-CN"/>
        </w:rPr>
        <w:t>“</w:t>
      </w:r>
      <w:r>
        <w:rPr>
          <w:rFonts w:ascii="Times New Roman" w:hAnsi="Times New Roman" w:eastAsia="方正仿宋简体" w:cs="方正仿宋简体"/>
          <w:sz w:val="32"/>
          <w:szCs w:val="32"/>
          <w:lang w:val="en-US" w:eastAsia="zh-CN"/>
        </w:rPr>
        <w:t>一基地、两示范</w:t>
      </w:r>
      <w:r>
        <w:rPr>
          <w:rFonts w:hint="eastAsia" w:ascii="Times New Roman" w:hAnsi="Times New Roman" w:eastAsia="方正仿宋简体" w:cs="方正仿宋简体"/>
          <w:sz w:val="32"/>
          <w:szCs w:val="32"/>
          <w:lang w:val="en-US" w:eastAsia="zh-CN"/>
        </w:rPr>
        <w:t>”</w:t>
      </w:r>
      <w:r>
        <w:rPr>
          <w:rFonts w:ascii="Times New Roman" w:hAnsi="Times New Roman" w:eastAsia="方正仿宋简体" w:cs="方正仿宋简体"/>
          <w:sz w:val="32"/>
          <w:szCs w:val="32"/>
          <w:lang w:val="en-US" w:eastAsia="zh-CN"/>
        </w:rPr>
        <w:t>能源发展新格局、算力珠峰、文旅提质、藏医药振兴系列专项政策；依据《财政支持文化旅游产业高质量发展十二条措施》《西藏自治区支持中小企业高质量发展若干措施》等配套文件明确产业扶持标准。</w:t>
      </w:r>
    </w:p>
    <w:p w14:paraId="0A62CFDB">
      <w:pPr>
        <w:pStyle w:val="8"/>
        <w:topLinePunct/>
        <w:autoSpaceDE/>
        <w:autoSpaceDN/>
        <w:spacing w:before="0" w:line="576" w:lineRule="exact"/>
        <w:ind w:left="0" w:firstLine="640" w:firstLineChars="200"/>
        <w:jc w:val="both"/>
        <w:rPr>
          <w:rFonts w:ascii="Times New Roman" w:hAnsi="Times New Roman" w:eastAsia="方正仿宋简体" w:cs="方正仿宋简体"/>
          <w:sz w:val="32"/>
          <w:szCs w:val="32"/>
          <w:lang w:val="en-US" w:eastAsia="zh-CN"/>
        </w:rPr>
      </w:pPr>
      <w:r>
        <w:rPr>
          <w:rFonts w:ascii="Times New Roman" w:hAnsi="Times New Roman" w:eastAsia="方正仿宋简体" w:cs="方正仿宋简体"/>
          <w:sz w:val="32"/>
          <w:szCs w:val="32"/>
          <w:lang w:val="en-US" w:eastAsia="zh-CN"/>
        </w:rPr>
        <w:t>3</w:t>
      </w:r>
      <w:r>
        <w:rPr>
          <w:rFonts w:hint="eastAsia" w:ascii="Times New Roman" w:hAnsi="Times New Roman" w:eastAsia="方正仿宋简体" w:cs="方正仿宋简体"/>
          <w:sz w:val="32"/>
          <w:szCs w:val="32"/>
          <w:lang w:eastAsia="zh-CN"/>
        </w:rPr>
        <w:t>．</w:t>
      </w:r>
      <w:r>
        <w:rPr>
          <w:rFonts w:ascii="Times New Roman" w:hAnsi="Times New Roman" w:eastAsia="方正仿宋简体" w:cs="方正仿宋简体"/>
          <w:sz w:val="32"/>
          <w:szCs w:val="32"/>
          <w:lang w:val="en-US" w:eastAsia="zh-CN"/>
        </w:rPr>
        <w:t>市级发展战略与规划</w:t>
      </w:r>
    </w:p>
    <w:p w14:paraId="0BCCAE13">
      <w:pPr>
        <w:pStyle w:val="8"/>
        <w:topLinePunct/>
        <w:autoSpaceDE/>
        <w:autoSpaceDN/>
        <w:spacing w:before="0" w:line="576" w:lineRule="exact"/>
        <w:ind w:left="0" w:firstLine="640" w:firstLineChars="200"/>
        <w:jc w:val="both"/>
        <w:rPr>
          <w:rFonts w:ascii="Times New Roman" w:hAnsi="Times New Roman" w:eastAsia="方正仿宋简体" w:cs="方正仿宋简体"/>
          <w:sz w:val="32"/>
          <w:szCs w:val="32"/>
          <w:lang w:val="en-US" w:eastAsia="zh-CN"/>
        </w:rPr>
      </w:pPr>
      <w:r>
        <w:rPr>
          <w:rFonts w:ascii="Times New Roman" w:hAnsi="Times New Roman" w:eastAsia="方正仿宋简体" w:cs="方正仿宋简体"/>
          <w:sz w:val="32"/>
          <w:szCs w:val="32"/>
          <w:lang w:val="en-US" w:eastAsia="zh-CN"/>
        </w:rPr>
        <w:t>锚定市委</w:t>
      </w:r>
      <w:r>
        <w:rPr>
          <w:rFonts w:hint="eastAsia" w:ascii="Times New Roman" w:hAnsi="Times New Roman" w:eastAsia="方正仿宋简体" w:cs="方正仿宋简体"/>
          <w:sz w:val="32"/>
          <w:szCs w:val="32"/>
          <w:lang w:val="en-US" w:eastAsia="zh-CN"/>
        </w:rPr>
        <w:t>“</w:t>
      </w:r>
      <w:r>
        <w:rPr>
          <w:rFonts w:ascii="Times New Roman" w:hAnsi="Times New Roman" w:eastAsia="方正仿宋简体" w:cs="方正仿宋简体"/>
          <w:sz w:val="32"/>
          <w:szCs w:val="32"/>
          <w:lang w:val="en-US" w:eastAsia="zh-CN"/>
        </w:rPr>
        <w:t>五地</w:t>
      </w:r>
      <w:r>
        <w:rPr>
          <w:rFonts w:hint="eastAsia" w:ascii="Times New Roman" w:hAnsi="Times New Roman" w:eastAsia="方正仿宋简体" w:cs="方正仿宋简体"/>
          <w:sz w:val="32"/>
          <w:szCs w:val="32"/>
          <w:lang w:val="en-US" w:eastAsia="zh-CN"/>
        </w:rPr>
        <w:t>”</w:t>
      </w:r>
      <w:r>
        <w:rPr>
          <w:rFonts w:ascii="Times New Roman" w:hAnsi="Times New Roman" w:eastAsia="方正仿宋简体" w:cs="方正仿宋简体"/>
          <w:sz w:val="32"/>
          <w:szCs w:val="32"/>
          <w:lang w:val="en-US" w:eastAsia="zh-CN"/>
        </w:rPr>
        <w:t>建设</w:t>
      </w:r>
      <w:r>
        <w:rPr>
          <w:rFonts w:hint="eastAsia" w:ascii="Times New Roman" w:hAnsi="Times New Roman" w:eastAsia="方正仿宋简体" w:cs="方正仿宋简体"/>
          <w:sz w:val="32"/>
          <w:szCs w:val="32"/>
          <w:lang w:val="en-US" w:eastAsia="zh-CN"/>
        </w:rPr>
        <w:t>发展</w:t>
      </w:r>
      <w:r>
        <w:rPr>
          <w:rFonts w:ascii="Times New Roman" w:hAnsi="Times New Roman" w:eastAsia="方正仿宋简体" w:cs="方正仿宋简体"/>
          <w:sz w:val="32"/>
          <w:szCs w:val="32"/>
          <w:lang w:val="en-US" w:eastAsia="zh-CN"/>
        </w:rPr>
        <w:t>总路径，衔接</w:t>
      </w:r>
      <w:r>
        <w:rPr>
          <w:rFonts w:hint="eastAsia" w:ascii="Times New Roman" w:hAnsi="Times New Roman" w:eastAsia="方正仿宋简体" w:cs="方正仿宋简体"/>
          <w:sz w:val="32"/>
          <w:szCs w:val="32"/>
          <w:lang w:val="en-US" w:eastAsia="zh-CN"/>
        </w:rPr>
        <w:t>“</w:t>
      </w:r>
      <w:r>
        <w:rPr>
          <w:rFonts w:ascii="Times New Roman" w:hAnsi="Times New Roman" w:eastAsia="方正仿宋简体" w:cs="方正仿宋简体"/>
          <w:sz w:val="32"/>
          <w:szCs w:val="32"/>
          <w:lang w:val="en-US" w:eastAsia="zh-CN"/>
        </w:rPr>
        <w:t>六个那曲</w:t>
      </w:r>
      <w:r>
        <w:rPr>
          <w:rFonts w:hint="eastAsia" w:ascii="Times New Roman" w:hAnsi="Times New Roman" w:eastAsia="方正仿宋简体" w:cs="方正仿宋简体"/>
          <w:sz w:val="32"/>
          <w:szCs w:val="32"/>
          <w:lang w:val="en-US" w:eastAsia="zh-CN"/>
        </w:rPr>
        <w:t>”</w:t>
      </w:r>
      <w:r>
        <w:rPr>
          <w:rFonts w:ascii="Times New Roman" w:hAnsi="Times New Roman" w:eastAsia="方正仿宋简体" w:cs="方正仿宋简体"/>
          <w:sz w:val="32"/>
          <w:szCs w:val="32"/>
          <w:lang w:val="en-US" w:eastAsia="zh-CN"/>
        </w:rPr>
        <w:t>建设、</w:t>
      </w:r>
      <w:r>
        <w:rPr>
          <w:rFonts w:hint="eastAsia" w:ascii="Times New Roman" w:hAnsi="Times New Roman" w:eastAsia="方正仿宋简体" w:cs="方正仿宋简体"/>
          <w:sz w:val="32"/>
          <w:szCs w:val="32"/>
          <w:lang w:val="en-US" w:eastAsia="zh-CN"/>
        </w:rPr>
        <w:t>“</w:t>
      </w:r>
      <w:r>
        <w:rPr>
          <w:rFonts w:ascii="Times New Roman" w:hAnsi="Times New Roman" w:eastAsia="方正仿宋简体" w:cs="方正仿宋简体"/>
          <w:sz w:val="32"/>
          <w:szCs w:val="32"/>
          <w:lang w:val="en-US" w:eastAsia="zh-CN"/>
        </w:rPr>
        <w:t>七</w:t>
      </w:r>
      <w:r>
        <w:rPr>
          <w:rFonts w:hint="eastAsia" w:ascii="Times New Roman" w:hAnsi="Times New Roman" w:eastAsia="方正仿宋简体" w:cs="方正仿宋简体"/>
          <w:sz w:val="32"/>
          <w:szCs w:val="32"/>
          <w:lang w:val="en-US" w:eastAsia="zh-CN"/>
        </w:rPr>
        <w:t>个</w:t>
      </w:r>
      <w:r>
        <w:rPr>
          <w:rFonts w:ascii="Times New Roman" w:hAnsi="Times New Roman" w:eastAsia="方正仿宋简体" w:cs="方正仿宋简体"/>
          <w:sz w:val="32"/>
          <w:szCs w:val="32"/>
          <w:lang w:val="en-US" w:eastAsia="zh-CN"/>
        </w:rPr>
        <w:t>强市</w:t>
      </w:r>
      <w:r>
        <w:rPr>
          <w:rFonts w:hint="eastAsia" w:ascii="Times New Roman" w:hAnsi="Times New Roman" w:eastAsia="方正仿宋简体" w:cs="方正仿宋简体"/>
          <w:sz w:val="32"/>
          <w:szCs w:val="32"/>
          <w:lang w:val="en-US" w:eastAsia="zh-CN"/>
        </w:rPr>
        <w:t>”战略布局</w:t>
      </w:r>
      <w:r>
        <w:rPr>
          <w:rFonts w:ascii="Times New Roman" w:hAnsi="Times New Roman" w:eastAsia="方正仿宋简体" w:cs="方正仿宋简体"/>
          <w:sz w:val="32"/>
          <w:szCs w:val="32"/>
          <w:lang w:val="en-US" w:eastAsia="zh-CN"/>
        </w:rPr>
        <w:t>、“品质那曲</w:t>
      </w:r>
      <w:r>
        <w:rPr>
          <w:rFonts w:hint="eastAsia" w:ascii="Times New Roman" w:hAnsi="Times New Roman" w:eastAsia="方正仿宋简体" w:cs="方正仿宋简体"/>
          <w:sz w:val="32"/>
          <w:szCs w:val="32"/>
          <w:lang w:val="en-US" w:eastAsia="zh-CN"/>
        </w:rPr>
        <w:t>”</w:t>
      </w:r>
      <w:r>
        <w:rPr>
          <w:rFonts w:ascii="Times New Roman" w:hAnsi="Times New Roman" w:eastAsia="方正仿宋简体" w:cs="方正仿宋简体"/>
          <w:sz w:val="32"/>
          <w:szCs w:val="32"/>
          <w:lang w:val="en-US" w:eastAsia="zh-CN"/>
        </w:rPr>
        <w:t>奋斗目标；同步对接《那曲市</w:t>
      </w:r>
      <w:r>
        <w:rPr>
          <w:rFonts w:hint="eastAsia" w:ascii="Times New Roman" w:hAnsi="Times New Roman" w:eastAsia="方正仿宋简体" w:cs="方正仿宋简体"/>
          <w:sz w:val="32"/>
          <w:szCs w:val="32"/>
          <w:lang w:val="en-US" w:eastAsia="zh-CN"/>
        </w:rPr>
        <w:t>“</w:t>
      </w:r>
      <w:r>
        <w:rPr>
          <w:rFonts w:ascii="Times New Roman" w:hAnsi="Times New Roman" w:eastAsia="方正仿宋简体" w:cs="方正仿宋简体"/>
          <w:sz w:val="32"/>
          <w:szCs w:val="32"/>
          <w:lang w:val="en-US" w:eastAsia="zh-CN"/>
        </w:rPr>
        <w:t>十五五</w:t>
      </w:r>
      <w:r>
        <w:rPr>
          <w:rFonts w:hint="eastAsia" w:ascii="Times New Roman" w:hAnsi="Times New Roman" w:eastAsia="方正仿宋简体" w:cs="方正仿宋简体"/>
          <w:sz w:val="32"/>
          <w:szCs w:val="32"/>
          <w:lang w:val="en-US" w:eastAsia="zh-CN"/>
        </w:rPr>
        <w:t>”</w:t>
      </w:r>
      <w:r>
        <w:rPr>
          <w:rFonts w:ascii="Times New Roman" w:hAnsi="Times New Roman" w:eastAsia="方正仿宋简体" w:cs="方正仿宋简体"/>
          <w:sz w:val="32"/>
          <w:szCs w:val="32"/>
          <w:lang w:val="en-US" w:eastAsia="zh-CN"/>
        </w:rPr>
        <w:t>时期三次产业融合发展规划》，与全市国土空间</w:t>
      </w:r>
      <w:r>
        <w:rPr>
          <w:rFonts w:hint="eastAsia" w:ascii="Times New Roman" w:hAnsi="Times New Roman" w:eastAsia="方正仿宋简体" w:cs="方正仿宋简体"/>
          <w:sz w:val="32"/>
          <w:szCs w:val="32"/>
          <w:lang w:val="en-US" w:eastAsia="zh-CN"/>
        </w:rPr>
        <w:t>“</w:t>
      </w:r>
      <w:r>
        <w:rPr>
          <w:rFonts w:ascii="Times New Roman" w:hAnsi="Times New Roman" w:eastAsia="方正仿宋简体" w:cs="方正仿宋简体"/>
          <w:sz w:val="32"/>
          <w:szCs w:val="32"/>
          <w:lang w:val="en-US" w:eastAsia="zh-CN"/>
        </w:rPr>
        <w:t>三区三线</w:t>
      </w:r>
      <w:r>
        <w:rPr>
          <w:rFonts w:hint="eastAsia" w:ascii="Times New Roman" w:hAnsi="Times New Roman" w:eastAsia="方正仿宋简体" w:cs="方正仿宋简体"/>
          <w:sz w:val="32"/>
          <w:szCs w:val="32"/>
          <w:lang w:val="en-US" w:eastAsia="zh-CN"/>
        </w:rPr>
        <w:t>”</w:t>
      </w:r>
      <w:r>
        <w:rPr>
          <w:rFonts w:ascii="Times New Roman" w:hAnsi="Times New Roman" w:eastAsia="方正仿宋简体" w:cs="方正仿宋简体"/>
          <w:sz w:val="32"/>
          <w:szCs w:val="32"/>
          <w:lang w:val="en-US" w:eastAsia="zh-CN"/>
        </w:rPr>
        <w:t>管控规划、生态保护修复专项规划统筹协同，形成上下贯通、层级匹配规划支撑链条。</w:t>
      </w:r>
    </w:p>
    <w:p w14:paraId="463EB424">
      <w:pPr>
        <w:pStyle w:val="8"/>
        <w:topLinePunct/>
        <w:autoSpaceDE/>
        <w:autoSpaceDN/>
        <w:spacing w:before="0" w:line="576" w:lineRule="exact"/>
        <w:ind w:left="0" w:firstLine="640" w:firstLineChars="200"/>
        <w:jc w:val="both"/>
        <w:outlineLvl w:val="1"/>
        <w:rPr>
          <w:rFonts w:ascii="Times New Roman" w:hAnsi="Times New Roman" w:eastAsia="方正楷体简体" w:cs="方正仿宋简体"/>
          <w:sz w:val="32"/>
          <w:szCs w:val="32"/>
        </w:rPr>
      </w:pPr>
      <w:bookmarkStart w:id="50" w:name="_Toc243241403"/>
      <w:r>
        <w:rPr>
          <w:rFonts w:ascii="Times New Roman" w:hAnsi="Times New Roman" w:eastAsia="方正楷体简体" w:cs="方正仿宋简体"/>
          <w:sz w:val="32"/>
          <w:szCs w:val="32"/>
        </w:rPr>
        <w:t>（三）资源禀赋现实依据</w:t>
      </w:r>
      <w:bookmarkEnd w:id="50"/>
    </w:p>
    <w:p w14:paraId="6E91AD7B">
      <w:pPr>
        <w:pStyle w:val="8"/>
        <w:topLinePunct/>
        <w:autoSpaceDE/>
        <w:autoSpaceDN/>
        <w:spacing w:before="0" w:line="576" w:lineRule="exact"/>
        <w:ind w:left="0" w:firstLine="640" w:firstLineChars="200"/>
        <w:jc w:val="both"/>
        <w:rPr>
          <w:rFonts w:ascii="Times New Roman" w:hAnsi="Times New Roman" w:eastAsia="方正仿宋简体" w:cs="方正仿宋简体"/>
          <w:sz w:val="32"/>
          <w:szCs w:val="32"/>
          <w:lang w:val="en-US" w:eastAsia="zh-CN"/>
        </w:rPr>
      </w:pPr>
      <w:r>
        <w:rPr>
          <w:rFonts w:ascii="Times New Roman" w:hAnsi="Times New Roman" w:eastAsia="方正仿宋简体" w:cs="方正仿宋简体"/>
          <w:sz w:val="32"/>
          <w:szCs w:val="32"/>
          <w:lang w:val="en-US" w:eastAsia="zh-CN"/>
        </w:rPr>
        <w:t>那曲</w:t>
      </w:r>
      <w:r>
        <w:rPr>
          <w:rFonts w:ascii="Times New Roman" w:hAnsi="Times New Roman" w:eastAsia="方正仿宋简体" w:cs="方正仿宋简体"/>
          <w:sz w:val="32"/>
          <w:szCs w:val="32"/>
        </w:rPr>
        <w:t>地处</w:t>
      </w:r>
      <w:r>
        <w:rPr>
          <w:rFonts w:ascii="Times New Roman" w:hAnsi="Times New Roman" w:eastAsia="方正仿宋简体" w:cs="方正仿宋简体"/>
          <w:sz w:val="32"/>
          <w:szCs w:val="32"/>
          <w:lang w:val="en-US" w:eastAsia="zh-CN"/>
        </w:rPr>
        <w:t>羌塘高原核心，资源禀赋具备不可复制的差异化发展基础，是</w:t>
      </w:r>
      <w:r>
        <w:rPr>
          <w:rFonts w:hint="eastAsia" w:ascii="Times New Roman" w:hAnsi="Times New Roman" w:eastAsia="方正仿宋简体" w:cs="方正仿宋简体"/>
          <w:sz w:val="32"/>
          <w:szCs w:val="32"/>
          <w:lang w:val="en-US" w:eastAsia="zh-CN"/>
        </w:rPr>
        <w:t>《目录》</w:t>
      </w:r>
      <w:r>
        <w:rPr>
          <w:rFonts w:ascii="Times New Roman" w:hAnsi="Times New Roman" w:eastAsia="方正仿宋简体" w:cs="方正仿宋简体"/>
          <w:sz w:val="32"/>
          <w:szCs w:val="32"/>
          <w:lang w:val="en-US" w:eastAsia="zh-CN"/>
        </w:rPr>
        <w:t>产业分层、空间布局的客观现实依据。</w:t>
      </w:r>
      <w:r>
        <w:rPr>
          <w:rFonts w:ascii="Times New Roman" w:hAnsi="Times New Roman" w:eastAsia="方正仿宋简体" w:cs="方正仿宋简体"/>
          <w:b/>
          <w:bCs/>
          <w:sz w:val="32"/>
          <w:szCs w:val="32"/>
          <w:lang w:val="en-US" w:eastAsia="zh-CN"/>
        </w:rPr>
        <w:t>一是</w:t>
      </w:r>
      <w:r>
        <w:rPr>
          <w:rFonts w:ascii="Times New Roman" w:hAnsi="Times New Roman" w:eastAsia="方正仿宋简体" w:cs="方正仿宋简体"/>
          <w:sz w:val="32"/>
          <w:szCs w:val="32"/>
          <w:lang w:val="en-US" w:eastAsia="zh-CN"/>
        </w:rPr>
        <w:t>畜牧种质资源</w:t>
      </w:r>
      <w:r>
        <w:rPr>
          <w:rFonts w:hint="eastAsia" w:ascii="Times New Roman" w:hAnsi="Times New Roman" w:eastAsia="方正仿宋简体" w:cs="方正仿宋简体"/>
          <w:sz w:val="32"/>
          <w:szCs w:val="32"/>
          <w:lang w:val="en-US" w:eastAsia="zh-CN"/>
        </w:rPr>
        <w:t>丰盈</w:t>
      </w:r>
      <w:r>
        <w:rPr>
          <w:rFonts w:ascii="Times New Roman" w:hAnsi="Times New Roman" w:eastAsia="方正仿宋简体" w:cs="方正仿宋简体"/>
          <w:sz w:val="32"/>
          <w:szCs w:val="32"/>
          <w:lang w:val="en-US" w:eastAsia="zh-CN"/>
        </w:rPr>
        <w:t>，是全国五大牧区核心承载区；</w:t>
      </w:r>
      <w:r>
        <w:rPr>
          <w:rFonts w:ascii="Times New Roman" w:hAnsi="Times New Roman" w:eastAsia="方正仿宋简体" w:cs="方正仿宋简体"/>
          <w:b/>
          <w:bCs/>
          <w:sz w:val="32"/>
          <w:szCs w:val="32"/>
          <w:lang w:val="en-US" w:eastAsia="zh-CN"/>
        </w:rPr>
        <w:t>二是</w:t>
      </w:r>
      <w:r>
        <w:rPr>
          <w:rFonts w:ascii="Times New Roman" w:hAnsi="Times New Roman" w:eastAsia="方正仿宋简体" w:cs="方正仿宋简体"/>
          <w:sz w:val="32"/>
          <w:szCs w:val="32"/>
          <w:lang w:val="en-US" w:eastAsia="zh-CN"/>
        </w:rPr>
        <w:t>清洁能源储量充沛，具备打造国家绿电输出基地天然条件；</w:t>
      </w:r>
      <w:r>
        <w:rPr>
          <w:rFonts w:ascii="Times New Roman" w:hAnsi="Times New Roman" w:eastAsia="方正仿宋简体" w:cs="方正仿宋简体"/>
          <w:b/>
          <w:bCs/>
          <w:sz w:val="32"/>
          <w:szCs w:val="32"/>
          <w:lang w:val="en-US" w:eastAsia="zh-CN"/>
        </w:rPr>
        <w:t>三是</w:t>
      </w:r>
      <w:r>
        <w:rPr>
          <w:rFonts w:ascii="Times New Roman" w:hAnsi="Times New Roman" w:eastAsia="方正仿宋简体" w:cs="方正仿宋简体"/>
          <w:sz w:val="32"/>
          <w:szCs w:val="32"/>
          <w:lang w:val="en-US" w:eastAsia="zh-CN"/>
        </w:rPr>
        <w:t>道地藏药材、盐湖战略矿产、冰川水源、极地景观、游牧非遗五类独有资源储备丰厚，资源稀缺性构成产业核心竞争壁垒；</w:t>
      </w:r>
      <w:r>
        <w:rPr>
          <w:rFonts w:ascii="Times New Roman" w:hAnsi="Times New Roman" w:eastAsia="方正仿宋简体" w:cs="方正仿宋简体"/>
          <w:b/>
          <w:bCs/>
          <w:sz w:val="32"/>
          <w:szCs w:val="32"/>
          <w:lang w:val="en-US" w:eastAsia="zh-CN"/>
        </w:rPr>
        <w:t>四是</w:t>
      </w:r>
      <w:r>
        <w:rPr>
          <w:rFonts w:ascii="Times New Roman" w:hAnsi="Times New Roman" w:eastAsia="方正仿宋简体" w:cs="方正仿宋简体"/>
          <w:sz w:val="32"/>
          <w:szCs w:val="32"/>
          <w:lang w:val="en-US" w:eastAsia="zh-CN"/>
        </w:rPr>
        <w:t>区位通道优势突出，作为西藏北大门、青藏铁路与国道干线交汇枢纽，具备藏北物资集散、跨区域产业协作先天条件。</w:t>
      </w:r>
    </w:p>
    <w:p w14:paraId="65B930CE">
      <w:pPr>
        <w:pStyle w:val="8"/>
        <w:topLinePunct/>
        <w:autoSpaceDE/>
        <w:autoSpaceDN/>
        <w:spacing w:before="0" w:line="576" w:lineRule="exact"/>
        <w:ind w:left="0" w:firstLine="640" w:firstLineChars="200"/>
        <w:jc w:val="both"/>
        <w:outlineLvl w:val="1"/>
        <w:rPr>
          <w:rFonts w:ascii="Times New Roman" w:hAnsi="Times New Roman" w:eastAsia="方正楷体简体" w:cs="方正仿宋简体"/>
          <w:sz w:val="32"/>
          <w:szCs w:val="32"/>
        </w:rPr>
      </w:pPr>
      <w:bookmarkStart w:id="51" w:name="_Toc243241404"/>
      <w:r>
        <w:rPr>
          <w:rFonts w:ascii="Times New Roman" w:hAnsi="Times New Roman" w:eastAsia="方正楷体简体" w:cs="方正仿宋简体"/>
          <w:sz w:val="32"/>
          <w:szCs w:val="32"/>
        </w:rPr>
        <w:t>（四）现有产业实践依据</w:t>
      </w:r>
      <w:bookmarkEnd w:id="51"/>
    </w:p>
    <w:p w14:paraId="0C92490C">
      <w:pPr>
        <w:pStyle w:val="8"/>
        <w:topLinePunct/>
        <w:autoSpaceDE/>
        <w:autoSpaceDN/>
        <w:spacing w:before="0" w:line="576" w:lineRule="exact"/>
        <w:ind w:left="0" w:firstLine="640" w:firstLineChars="200"/>
        <w:jc w:val="both"/>
        <w:rPr>
          <w:rFonts w:ascii="Times New Roman" w:hAnsi="Times New Roman" w:eastAsia="方正仿宋简体" w:cs="方正仿宋简体"/>
          <w:sz w:val="32"/>
          <w:szCs w:val="32"/>
          <w:lang w:val="en-US" w:eastAsia="zh-CN"/>
        </w:rPr>
      </w:pPr>
      <w:r>
        <w:rPr>
          <w:rFonts w:ascii="Times New Roman" w:hAnsi="Times New Roman" w:eastAsia="方正仿宋简体" w:cs="方正仿宋简体"/>
          <w:sz w:val="32"/>
          <w:szCs w:val="32"/>
          <w:lang w:val="en-US" w:eastAsia="zh-CN"/>
        </w:rPr>
        <w:t>经过多年培育，</w:t>
      </w:r>
      <w:r>
        <w:rPr>
          <w:rFonts w:hint="eastAsia" w:ascii="Times New Roman" w:hAnsi="Times New Roman" w:eastAsia="方正仿宋简体" w:cs="方正仿宋简体"/>
          <w:sz w:val="32"/>
          <w:szCs w:val="32"/>
          <w:lang w:val="en-US" w:eastAsia="zh-CN"/>
        </w:rPr>
        <w:t>那曲</w:t>
      </w:r>
      <w:r>
        <w:rPr>
          <w:rFonts w:ascii="Times New Roman" w:hAnsi="Times New Roman" w:eastAsia="方正仿宋简体" w:cs="方正仿宋简体"/>
          <w:sz w:val="32"/>
          <w:szCs w:val="32"/>
          <w:lang w:val="en-US" w:eastAsia="zh-CN"/>
        </w:rPr>
        <w:t>市已形成高原特色畜牧业、藏医药、清洁能源、生态文旅、绿色矿业、交通物流、民族手工业、高原特色种植业八大</w:t>
      </w:r>
      <w:r>
        <w:rPr>
          <w:rFonts w:hint="eastAsia" w:ascii="Times New Roman" w:hAnsi="Times New Roman" w:eastAsia="方正仿宋简体" w:cs="方正仿宋简体"/>
          <w:sz w:val="32"/>
          <w:szCs w:val="32"/>
          <w:lang w:val="en-US" w:eastAsia="zh-CN"/>
        </w:rPr>
        <w:t>较</w:t>
      </w:r>
      <w:r>
        <w:rPr>
          <w:rFonts w:ascii="Times New Roman" w:hAnsi="Times New Roman" w:eastAsia="方正仿宋简体" w:cs="方正仿宋简体"/>
          <w:sz w:val="32"/>
          <w:szCs w:val="32"/>
          <w:lang w:val="en-US" w:eastAsia="zh-CN"/>
        </w:rPr>
        <w:t>成熟</w:t>
      </w:r>
      <w:r>
        <w:rPr>
          <w:rFonts w:hint="eastAsia" w:ascii="Times New Roman" w:hAnsi="Times New Roman" w:eastAsia="方正仿宋简体" w:cs="方正仿宋简体"/>
          <w:sz w:val="32"/>
          <w:szCs w:val="32"/>
          <w:lang w:val="en-US" w:eastAsia="zh-CN"/>
        </w:rPr>
        <w:t>的</w:t>
      </w:r>
      <w:r>
        <w:rPr>
          <w:rFonts w:ascii="Times New Roman" w:hAnsi="Times New Roman" w:eastAsia="方正仿宋简体" w:cs="方正仿宋简体"/>
          <w:sz w:val="32"/>
          <w:szCs w:val="32"/>
          <w:lang w:val="en-US" w:eastAsia="zh-CN"/>
        </w:rPr>
        <w:t>产业业态，各行业经营主体、基础设施、技术体系、产销渠道均具备稳定发展底盘：清洁能源形成风光储氢多能互补开发模式，建成全区标杆产业园；畜牧产业构建</w:t>
      </w:r>
      <w:r>
        <w:rPr>
          <w:rFonts w:hint="eastAsia" w:ascii="Times New Roman" w:hAnsi="Times New Roman" w:eastAsia="方正仿宋简体" w:cs="方正仿宋简体"/>
          <w:sz w:val="32"/>
          <w:szCs w:val="32"/>
          <w:lang w:val="en-US" w:eastAsia="zh-CN"/>
        </w:rPr>
        <w:t>“</w:t>
      </w:r>
      <w:r>
        <w:rPr>
          <w:rFonts w:ascii="Times New Roman" w:hAnsi="Times New Roman" w:eastAsia="方正仿宋简体" w:cs="方正仿宋简体"/>
          <w:sz w:val="32"/>
          <w:szCs w:val="32"/>
          <w:lang w:val="en-US" w:eastAsia="zh-CN"/>
        </w:rPr>
        <w:t>龙头</w:t>
      </w:r>
      <w:r>
        <w:rPr>
          <w:rFonts w:hint="eastAsia" w:ascii="Times New Roman" w:hAnsi="Times New Roman" w:eastAsia="方正仿宋简体" w:cs="方正仿宋简体"/>
          <w:sz w:val="32"/>
          <w:szCs w:val="32"/>
          <w:lang w:val="en-US" w:eastAsia="zh-CN"/>
        </w:rPr>
        <w:t>企业</w:t>
      </w:r>
      <w:r>
        <w:rPr>
          <w:rFonts w:ascii="Times New Roman" w:hAnsi="Times New Roman" w:eastAsia="方正仿宋简体" w:cs="方正仿宋简体"/>
          <w:sz w:val="32"/>
          <w:szCs w:val="32"/>
          <w:lang w:val="en-US" w:eastAsia="zh-CN"/>
        </w:rPr>
        <w:t>+合作社+家庭牧场</w:t>
      </w:r>
      <w:r>
        <w:rPr>
          <w:rFonts w:hint="eastAsia" w:ascii="Times New Roman" w:hAnsi="Times New Roman" w:eastAsia="方正仿宋简体" w:cs="方正仿宋简体"/>
          <w:sz w:val="32"/>
          <w:szCs w:val="32"/>
          <w:lang w:val="en-US" w:eastAsia="zh-CN"/>
        </w:rPr>
        <w:t>+牧户”</w:t>
      </w:r>
      <w:r>
        <w:rPr>
          <w:rFonts w:ascii="Times New Roman" w:hAnsi="Times New Roman" w:eastAsia="方正仿宋简体" w:cs="方正仿宋简体"/>
          <w:sz w:val="32"/>
          <w:szCs w:val="32"/>
          <w:lang w:val="en-US" w:eastAsia="zh-CN"/>
        </w:rPr>
        <w:t>完整经营体系；藏医药实现市、县制剂车间标准化</w:t>
      </w:r>
      <w:r>
        <w:rPr>
          <w:rFonts w:ascii="Times New Roman" w:hAnsi="Times New Roman" w:eastAsia="方正仿宋简体" w:cs="方正仿宋简体"/>
          <w:sz w:val="32"/>
          <w:szCs w:val="32"/>
        </w:rPr>
        <w:t>改造</w:t>
      </w:r>
      <w:r>
        <w:rPr>
          <w:rFonts w:ascii="Times New Roman" w:hAnsi="Times New Roman" w:eastAsia="方正仿宋简体" w:cs="方正仿宋简体"/>
          <w:sz w:val="32"/>
          <w:szCs w:val="32"/>
          <w:lang w:val="en-US" w:eastAsia="zh-CN"/>
        </w:rPr>
        <w:t>；文旅打造</w:t>
      </w:r>
      <w:r>
        <w:rPr>
          <w:rFonts w:hint="eastAsia" w:ascii="Times New Roman" w:hAnsi="Times New Roman" w:eastAsia="方正仿宋简体" w:cs="方正仿宋简体"/>
          <w:sz w:val="32"/>
          <w:szCs w:val="32"/>
          <w:lang w:val="en-US" w:eastAsia="zh-CN"/>
        </w:rPr>
        <w:t>“</w:t>
      </w:r>
      <w:r>
        <w:rPr>
          <w:rFonts w:ascii="Times New Roman" w:hAnsi="Times New Roman" w:eastAsia="方正仿宋简体" w:cs="方正仿宋简体"/>
          <w:sz w:val="32"/>
          <w:szCs w:val="32"/>
          <w:lang w:val="en-US" w:eastAsia="zh-CN"/>
        </w:rPr>
        <w:t>极地那曲</w:t>
      </w:r>
      <w:r>
        <w:rPr>
          <w:rFonts w:hint="eastAsia" w:ascii="微软雅黑" w:hAnsi="微软雅黑" w:eastAsia="微软雅黑" w:cs="微软雅黑"/>
          <w:sz w:val="32"/>
          <w:szCs w:val="32"/>
          <w:lang w:val="en-US" w:eastAsia="zh-CN"/>
        </w:rPr>
        <w:t>・</w:t>
      </w:r>
      <w:r>
        <w:rPr>
          <w:rFonts w:hint="eastAsia" w:ascii="方正仿宋简体" w:hAnsi="方正仿宋简体" w:eastAsia="方正仿宋简体" w:cs="方正仿宋简体"/>
          <w:sz w:val="32"/>
          <w:szCs w:val="32"/>
          <w:lang w:val="en-US" w:eastAsia="zh-CN"/>
        </w:rPr>
        <w:t>天际之旅</w:t>
      </w:r>
      <w:r>
        <w:rPr>
          <w:rFonts w:hint="eastAsia" w:ascii="Times New Roman" w:hAnsi="Times New Roman" w:eastAsia="方正仿宋简体" w:cs="方正仿宋简体"/>
          <w:sz w:val="32"/>
          <w:szCs w:val="32"/>
          <w:lang w:val="en-US" w:eastAsia="zh-CN"/>
        </w:rPr>
        <w:t>”</w:t>
      </w:r>
      <w:r>
        <w:rPr>
          <w:rFonts w:ascii="Times New Roman" w:hAnsi="Times New Roman" w:eastAsia="方正仿宋简体" w:cs="方正仿宋简体"/>
          <w:sz w:val="32"/>
          <w:szCs w:val="32"/>
          <w:lang w:val="en-US" w:eastAsia="zh-CN"/>
        </w:rPr>
        <w:t>核心IP；盐湖、卤虫</w:t>
      </w:r>
      <w:r>
        <w:rPr>
          <w:rFonts w:hint="eastAsia" w:ascii="Times New Roman" w:hAnsi="Times New Roman" w:eastAsia="方正仿宋简体" w:cs="方正仿宋简体"/>
          <w:sz w:val="32"/>
          <w:szCs w:val="32"/>
          <w:lang w:val="en-US" w:eastAsia="zh-CN"/>
        </w:rPr>
        <w:t>卵</w:t>
      </w:r>
      <w:r>
        <w:rPr>
          <w:rFonts w:ascii="Times New Roman" w:hAnsi="Times New Roman" w:eastAsia="方正仿宋简体" w:cs="方正仿宋简体"/>
          <w:sz w:val="32"/>
          <w:szCs w:val="32"/>
          <w:lang w:val="en-US" w:eastAsia="zh-CN"/>
        </w:rPr>
        <w:t>资源完成中试开发；城乡冷链、公铁联运物流体系逐步成型；非遗工坊、特色种植基地多点布局。现有产业发展成效、现存短板、增长潜力为</w:t>
      </w:r>
      <w:r>
        <w:rPr>
          <w:rFonts w:hint="eastAsia" w:ascii="Times New Roman" w:hAnsi="Times New Roman" w:eastAsia="方正仿宋简体" w:cs="方正仿宋简体"/>
          <w:sz w:val="32"/>
          <w:szCs w:val="32"/>
          <w:lang w:val="en-US" w:eastAsia="zh-CN"/>
        </w:rPr>
        <w:t>《目录》</w:t>
      </w:r>
      <w:r>
        <w:rPr>
          <w:rFonts w:ascii="Times New Roman" w:hAnsi="Times New Roman" w:eastAsia="方正仿宋简体" w:cs="方正仿宋简体"/>
          <w:sz w:val="32"/>
          <w:szCs w:val="32"/>
          <w:lang w:val="en-US" w:eastAsia="zh-CN"/>
        </w:rPr>
        <w:t>分层分类、明确培育重点提供实践支撑。</w:t>
      </w:r>
    </w:p>
    <w:p w14:paraId="63090EA6">
      <w:pPr>
        <w:pStyle w:val="8"/>
        <w:topLinePunct/>
        <w:autoSpaceDE/>
        <w:autoSpaceDN/>
        <w:spacing w:before="0" w:line="576" w:lineRule="exact"/>
        <w:ind w:left="0" w:firstLine="640" w:firstLineChars="200"/>
        <w:jc w:val="both"/>
        <w:outlineLvl w:val="1"/>
        <w:rPr>
          <w:rFonts w:ascii="Times New Roman" w:hAnsi="Times New Roman" w:eastAsia="方正楷体简体" w:cs="方正仿宋简体"/>
          <w:sz w:val="32"/>
          <w:szCs w:val="32"/>
        </w:rPr>
      </w:pPr>
      <w:bookmarkStart w:id="52" w:name="_Toc243241405"/>
      <w:r>
        <w:rPr>
          <w:rFonts w:ascii="Times New Roman" w:hAnsi="Times New Roman" w:eastAsia="方正楷体简体" w:cs="方正仿宋简体"/>
          <w:sz w:val="32"/>
          <w:szCs w:val="32"/>
        </w:rPr>
        <w:t>（五）市场发展导向依据</w:t>
      </w:r>
      <w:bookmarkEnd w:id="52"/>
    </w:p>
    <w:p w14:paraId="6D83E678">
      <w:pPr>
        <w:pStyle w:val="8"/>
        <w:topLinePunct/>
        <w:autoSpaceDE/>
        <w:autoSpaceDN/>
        <w:spacing w:before="0" w:line="576" w:lineRule="exact"/>
        <w:ind w:left="0" w:firstLine="640" w:firstLineChars="200"/>
        <w:jc w:val="both"/>
        <w:rPr>
          <w:rFonts w:ascii="Times New Roman" w:hAnsi="Times New Roman" w:eastAsia="方正仿宋简体" w:cs="方正仿宋简体"/>
          <w:sz w:val="32"/>
          <w:szCs w:val="32"/>
          <w:lang w:val="en-US" w:eastAsia="zh-CN"/>
        </w:rPr>
      </w:pPr>
      <w:r>
        <w:rPr>
          <w:rFonts w:ascii="Times New Roman" w:hAnsi="Times New Roman" w:eastAsia="方正仿宋简体" w:cs="方正仿宋简体"/>
          <w:sz w:val="32"/>
          <w:szCs w:val="32"/>
          <w:lang w:val="en-US" w:eastAsia="zh-CN"/>
        </w:rPr>
        <w:t>立足国内大循环、国内国际双循环发展格局，顺应健康消费、绿色消费、生态旅居、新能源原料、数字服务主流市场需求。当前国内高端有机畜产品、藏医康养、极地研学、零碳电力、高原算力、特色文创等市场持续扩容，港澳及东南亚、欧美对那曲</w:t>
      </w:r>
      <w:r>
        <w:rPr>
          <w:rFonts w:hint="eastAsia" w:ascii="Times New Roman" w:hAnsi="Times New Roman" w:eastAsia="方正仿宋简体" w:cs="方正仿宋简体"/>
          <w:sz w:val="32"/>
          <w:szCs w:val="32"/>
          <w:lang w:val="en-US" w:eastAsia="zh-CN"/>
        </w:rPr>
        <w:t>冬虫夏草</w:t>
      </w:r>
      <w:r>
        <w:rPr>
          <w:rFonts w:ascii="Times New Roman" w:hAnsi="Times New Roman" w:eastAsia="方正仿宋简体" w:cs="方正仿宋简体"/>
          <w:sz w:val="32"/>
          <w:szCs w:val="32"/>
          <w:lang w:val="en-US" w:eastAsia="zh-CN"/>
        </w:rPr>
        <w:t>、高寒特色制品需求稳定增长。</w:t>
      </w:r>
      <w:r>
        <w:rPr>
          <w:rFonts w:hint="eastAsia" w:ascii="Times New Roman" w:hAnsi="Times New Roman" w:eastAsia="方正仿宋简体" w:cs="方正仿宋简体"/>
          <w:sz w:val="32"/>
          <w:szCs w:val="32"/>
          <w:lang w:val="en-US" w:eastAsia="zh-CN"/>
        </w:rPr>
        <w:t>《目录》</w:t>
      </w:r>
      <w:r>
        <w:rPr>
          <w:rFonts w:ascii="Times New Roman" w:hAnsi="Times New Roman" w:eastAsia="方正仿宋简体" w:cs="方正仿宋简体"/>
          <w:sz w:val="32"/>
          <w:szCs w:val="32"/>
          <w:lang w:val="en-US" w:eastAsia="zh-CN"/>
        </w:rPr>
        <w:t>严格遵循市场需求导向，</w:t>
      </w:r>
      <w:r>
        <w:rPr>
          <w:rFonts w:hint="eastAsia" w:ascii="Times New Roman" w:hAnsi="Times New Roman" w:eastAsia="方正仿宋简体" w:cs="方正仿宋简体"/>
          <w:sz w:val="32"/>
          <w:szCs w:val="32"/>
          <w:lang w:val="en-US" w:eastAsia="zh-CN"/>
        </w:rPr>
        <w:t>优先布局生态价值高、市场前景广阔、盈利可持续性强、富民带动作用显著的产业业态，淘汰对生态发展产生负面影响、资源消耗高、附加值低以及市场萎缩落后的产业，</w:t>
      </w:r>
      <w:r>
        <w:rPr>
          <w:rFonts w:ascii="Times New Roman" w:hAnsi="Times New Roman" w:eastAsia="方正仿宋简体" w:cs="方正仿宋简体"/>
          <w:sz w:val="32"/>
          <w:szCs w:val="32"/>
          <w:lang w:val="en-US" w:eastAsia="zh-CN"/>
        </w:rPr>
        <w:t>推动供需精准匹配。</w:t>
      </w:r>
    </w:p>
    <w:p w14:paraId="782D8692">
      <w:pPr>
        <w:pStyle w:val="8"/>
        <w:topLinePunct/>
        <w:autoSpaceDE/>
        <w:autoSpaceDN/>
        <w:spacing w:before="0" w:line="576" w:lineRule="exact"/>
        <w:ind w:left="0" w:firstLine="640" w:firstLineChars="200"/>
        <w:jc w:val="both"/>
        <w:outlineLvl w:val="1"/>
        <w:rPr>
          <w:rFonts w:ascii="Times New Roman" w:hAnsi="Times New Roman" w:eastAsia="方正楷体简体" w:cs="方正仿宋简体"/>
          <w:sz w:val="32"/>
          <w:szCs w:val="32"/>
        </w:rPr>
      </w:pPr>
      <w:bookmarkStart w:id="53" w:name="_Toc243241406"/>
      <w:r>
        <w:rPr>
          <w:rFonts w:ascii="Times New Roman" w:hAnsi="Times New Roman" w:eastAsia="方正楷体简体" w:cs="方正仿宋简体"/>
          <w:sz w:val="32"/>
          <w:szCs w:val="32"/>
        </w:rPr>
        <w:t>（六）可持续发展理念依据</w:t>
      </w:r>
      <w:bookmarkEnd w:id="53"/>
    </w:p>
    <w:p w14:paraId="05908E59">
      <w:pPr>
        <w:pStyle w:val="8"/>
        <w:topLinePunct/>
        <w:autoSpaceDE/>
        <w:autoSpaceDN/>
        <w:spacing w:before="0" w:line="576" w:lineRule="exact"/>
        <w:ind w:left="0" w:firstLine="640" w:firstLineChars="200"/>
        <w:jc w:val="both"/>
        <w:rPr>
          <w:rFonts w:ascii="Times New Roman" w:hAnsi="Times New Roman" w:eastAsia="方正仿宋简体" w:cs="方正仿宋简体"/>
          <w:sz w:val="32"/>
          <w:szCs w:val="32"/>
          <w:lang w:val="en-US" w:eastAsia="zh-CN"/>
        </w:rPr>
      </w:pPr>
      <w:r>
        <w:rPr>
          <w:rFonts w:ascii="Times New Roman" w:hAnsi="Times New Roman" w:eastAsia="方正仿宋简体" w:cs="方正仿宋简体"/>
          <w:sz w:val="32"/>
          <w:szCs w:val="32"/>
          <w:lang w:val="en-US" w:eastAsia="zh-CN"/>
        </w:rPr>
        <w:t>践行绿水青山就是金山银山理念，严格坚守生态保护红线、环境质量底线、资源利用上线，统筹发展</w:t>
      </w:r>
      <w:bookmarkStart w:id="54" w:name="OLE_LINK58"/>
      <w:r>
        <w:rPr>
          <w:rFonts w:hint="eastAsia" w:ascii="Times New Roman" w:hAnsi="Times New Roman" w:eastAsia="方正仿宋简体" w:cs="方正仿宋简体"/>
          <w:sz w:val="32"/>
          <w:szCs w:val="32"/>
          <w:lang w:val="en-US" w:eastAsia="zh-CN"/>
        </w:rPr>
        <w:t>与</w:t>
      </w:r>
      <w:bookmarkEnd w:id="54"/>
      <w:r>
        <w:rPr>
          <w:rFonts w:ascii="Times New Roman" w:hAnsi="Times New Roman" w:eastAsia="方正仿宋简体" w:cs="方正仿宋简体"/>
          <w:sz w:val="32"/>
          <w:szCs w:val="32"/>
          <w:lang w:val="en-US" w:eastAsia="zh-CN"/>
        </w:rPr>
        <w:t>安全、开发与修复双重关系。</w:t>
      </w:r>
      <w:r>
        <w:rPr>
          <w:rFonts w:hint="eastAsia" w:ascii="Times New Roman" w:hAnsi="Times New Roman" w:eastAsia="方正仿宋简体" w:cs="方正仿宋简体"/>
          <w:sz w:val="32"/>
          <w:szCs w:val="32"/>
          <w:lang w:val="en-US" w:eastAsia="zh-CN"/>
        </w:rPr>
        <w:t>《目录》</w:t>
      </w:r>
      <w:r>
        <w:rPr>
          <w:rFonts w:ascii="Times New Roman" w:hAnsi="Times New Roman" w:eastAsia="方正仿宋简体" w:cs="方正仿宋简体"/>
          <w:sz w:val="32"/>
          <w:szCs w:val="32"/>
          <w:lang w:val="en-US" w:eastAsia="zh-CN"/>
        </w:rPr>
        <w:t>区分核心生态保护区限制类产业、适度开发区培育类产业，健全草原碳汇、生态产品价值实现路径，构建</w:t>
      </w:r>
      <w:r>
        <w:rPr>
          <w:rFonts w:hint="eastAsia" w:ascii="Times New Roman" w:hAnsi="Times New Roman" w:eastAsia="方正仿宋简体" w:cs="方正仿宋简体"/>
          <w:sz w:val="32"/>
          <w:szCs w:val="32"/>
          <w:lang w:val="en-US" w:eastAsia="zh-CN"/>
        </w:rPr>
        <w:t>“</w:t>
      </w:r>
      <w:r>
        <w:rPr>
          <w:rFonts w:ascii="Times New Roman" w:hAnsi="Times New Roman" w:eastAsia="方正仿宋简体" w:cs="方正仿宋简体"/>
          <w:sz w:val="32"/>
          <w:szCs w:val="32"/>
          <w:lang w:val="en-US" w:eastAsia="zh-CN"/>
        </w:rPr>
        <w:t>保护中开发、开发反哺保护</w:t>
      </w:r>
      <w:r>
        <w:rPr>
          <w:rFonts w:hint="eastAsia" w:ascii="Times New Roman" w:hAnsi="Times New Roman" w:eastAsia="方正仿宋简体" w:cs="方正仿宋简体"/>
          <w:sz w:val="32"/>
          <w:szCs w:val="32"/>
          <w:lang w:val="en-US" w:eastAsia="zh-CN"/>
        </w:rPr>
        <w:t>”</w:t>
      </w:r>
      <w:r>
        <w:rPr>
          <w:rFonts w:ascii="Times New Roman" w:hAnsi="Times New Roman" w:eastAsia="方正仿宋简体" w:cs="方正仿宋简体"/>
          <w:sz w:val="32"/>
          <w:szCs w:val="32"/>
          <w:lang w:val="en-US" w:eastAsia="zh-CN"/>
        </w:rPr>
        <w:t>长效机制，契合高原可持续发展内在要求。</w:t>
      </w:r>
    </w:p>
    <w:p w14:paraId="15B190D3">
      <w:pPr>
        <w:pStyle w:val="8"/>
        <w:topLinePunct/>
        <w:autoSpaceDE/>
        <w:autoSpaceDN/>
        <w:spacing w:before="0" w:line="576" w:lineRule="exact"/>
        <w:ind w:left="0" w:firstLine="640" w:firstLineChars="200"/>
        <w:jc w:val="both"/>
        <w:outlineLvl w:val="1"/>
        <w:rPr>
          <w:rFonts w:ascii="Times New Roman" w:hAnsi="Times New Roman" w:eastAsia="方正楷体简体" w:cs="方正仿宋简体"/>
          <w:sz w:val="32"/>
          <w:szCs w:val="32"/>
        </w:rPr>
      </w:pPr>
      <w:bookmarkStart w:id="55" w:name="_Toc243241407"/>
      <w:r>
        <w:rPr>
          <w:rFonts w:ascii="Times New Roman" w:hAnsi="Times New Roman" w:eastAsia="方正楷体简体" w:cs="方正仿宋简体"/>
          <w:sz w:val="32"/>
          <w:szCs w:val="32"/>
        </w:rPr>
        <w:t>（七）对口支援协同依据</w:t>
      </w:r>
      <w:bookmarkEnd w:id="55"/>
    </w:p>
    <w:p w14:paraId="580DB3BC">
      <w:pPr>
        <w:pStyle w:val="8"/>
        <w:topLinePunct/>
        <w:autoSpaceDE/>
        <w:autoSpaceDN/>
        <w:spacing w:before="0" w:line="576" w:lineRule="exact"/>
        <w:ind w:left="0" w:firstLine="640" w:firstLineChars="200"/>
        <w:jc w:val="both"/>
        <w:rPr>
          <w:rFonts w:ascii="Times New Roman" w:hAnsi="Times New Roman" w:eastAsia="方正仿宋简体" w:cs="方正仿宋简体"/>
          <w:sz w:val="32"/>
          <w:szCs w:val="32"/>
          <w:lang w:val="en-US" w:eastAsia="zh-CN"/>
        </w:rPr>
      </w:pPr>
      <w:r>
        <w:rPr>
          <w:rFonts w:ascii="Times New Roman" w:hAnsi="Times New Roman" w:eastAsia="方正仿宋简体" w:cs="方正仿宋简体"/>
          <w:sz w:val="32"/>
          <w:szCs w:val="32"/>
          <w:lang w:val="en-US" w:eastAsia="zh-CN"/>
        </w:rPr>
        <w:t>依托浙江、辽宁两省定点帮扶，中国石油、中国石化、中国海油、国家能源集团、中信集团五大央企定向帮扶多层次援藏体系，整合</w:t>
      </w:r>
      <w:r>
        <w:rPr>
          <w:rFonts w:ascii="Times New Roman" w:hAnsi="Times New Roman" w:eastAsia="方正仿宋简体" w:cs="方正仿宋简体"/>
          <w:sz w:val="32"/>
          <w:szCs w:val="32"/>
        </w:rPr>
        <w:t>援藏</w:t>
      </w:r>
      <w:r>
        <w:rPr>
          <w:rFonts w:ascii="Times New Roman" w:hAnsi="Times New Roman" w:eastAsia="方正仿宋简体" w:cs="方正仿宋简体"/>
          <w:sz w:val="32"/>
          <w:szCs w:val="32"/>
          <w:lang w:val="en-US" w:eastAsia="zh-CN"/>
        </w:rPr>
        <w:t>资金、产业项目、技术工艺、域外市场、专业人才多元资源。援藏协作在种养改良、深加工、园区建设、外销渠道、清洁能源配套、人才实训等领域形成成熟帮扶模式，为</w:t>
      </w:r>
      <w:r>
        <w:rPr>
          <w:rFonts w:hint="eastAsia" w:ascii="Times New Roman" w:hAnsi="Times New Roman" w:eastAsia="方正仿宋简体" w:cs="方正仿宋简体"/>
          <w:sz w:val="32"/>
          <w:szCs w:val="32"/>
          <w:lang w:val="en-US" w:eastAsia="zh-CN"/>
        </w:rPr>
        <w:t>《目录》</w:t>
      </w:r>
      <w:r>
        <w:rPr>
          <w:rFonts w:ascii="Times New Roman" w:hAnsi="Times New Roman" w:eastAsia="方正仿宋简体" w:cs="方正仿宋简体"/>
          <w:sz w:val="32"/>
          <w:szCs w:val="32"/>
          <w:lang w:val="en-US" w:eastAsia="zh-CN"/>
        </w:rPr>
        <w:t>产业落地、要素补齐、市场拓展提供外部协同依据</w:t>
      </w:r>
      <w:r>
        <w:rPr>
          <w:rFonts w:hint="eastAsia" w:ascii="Times New Roman" w:hAnsi="Times New Roman" w:eastAsia="方正仿宋简体" w:cs="方正仿宋简体"/>
          <w:sz w:val="32"/>
          <w:szCs w:val="32"/>
          <w:lang w:val="en-US" w:eastAsia="zh-CN"/>
        </w:rPr>
        <w:t>。</w:t>
      </w:r>
    </w:p>
    <w:p w14:paraId="20B51F45">
      <w:pPr>
        <w:pStyle w:val="8"/>
        <w:topLinePunct/>
        <w:autoSpaceDE/>
        <w:autoSpaceDN/>
        <w:spacing w:before="0" w:line="576" w:lineRule="exact"/>
        <w:ind w:left="0" w:firstLine="640" w:firstLineChars="200"/>
        <w:jc w:val="both"/>
        <w:outlineLvl w:val="0"/>
        <w:rPr>
          <w:rFonts w:ascii="Times New Roman" w:hAnsi="Times New Roman" w:eastAsia="方正黑体简体" w:cs="方正仿宋简体"/>
          <w:sz w:val="32"/>
          <w:szCs w:val="32"/>
          <w:lang w:val="en-US" w:eastAsia="zh-CN"/>
        </w:rPr>
      </w:pPr>
      <w:bookmarkStart w:id="56" w:name="_Toc243241408"/>
      <w:r>
        <w:rPr>
          <w:rFonts w:hint="eastAsia" w:ascii="Times New Roman" w:hAnsi="Times New Roman" w:eastAsia="方正黑体简体" w:cs="方正仿宋简体"/>
          <w:sz w:val="32"/>
          <w:szCs w:val="32"/>
          <w:lang w:val="en-US" w:eastAsia="zh-CN"/>
        </w:rPr>
        <w:t>六、思路框架</w:t>
      </w:r>
      <w:bookmarkEnd w:id="56"/>
    </w:p>
    <w:p w14:paraId="5F7D6A17">
      <w:pPr>
        <w:pStyle w:val="8"/>
        <w:topLinePunct/>
        <w:autoSpaceDE/>
        <w:autoSpaceDN/>
        <w:spacing w:before="0" w:line="576" w:lineRule="exact"/>
        <w:ind w:left="0" w:firstLine="640" w:firstLineChars="200"/>
        <w:jc w:val="both"/>
        <w:rPr>
          <w:rFonts w:ascii="Times New Roman" w:hAnsi="Times New Roman" w:eastAsia="方正仿宋简体" w:cs="方正仿宋简体"/>
          <w:sz w:val="32"/>
          <w:szCs w:val="32"/>
          <w:lang w:val="en-US"/>
        </w:rPr>
      </w:pPr>
      <w:r>
        <w:rPr>
          <w:rFonts w:ascii="Times New Roman" w:hAnsi="Times New Roman" w:eastAsia="方正仿宋简体" w:cs="方正仿宋简体"/>
          <w:sz w:val="32"/>
          <w:szCs w:val="32"/>
          <w:lang w:val="en-US"/>
        </w:rPr>
        <w:t>《目录》立足羌塘高原生态承载上限与全市产业发展实际，创新构建资源禀赋—政策导向—市场需求三维动态产业研判体系，突破传统单一维度分析局限，统筹高原生态承载力、区域政策适配度、</w:t>
      </w:r>
      <w:r>
        <w:rPr>
          <w:rFonts w:ascii="Times New Roman" w:hAnsi="Times New Roman" w:eastAsia="方正仿宋简体" w:cs="方正仿宋简体"/>
          <w:sz w:val="32"/>
          <w:szCs w:val="32"/>
          <w:lang w:val="en-US" w:eastAsia="zh-CN"/>
        </w:rPr>
        <w:t>国内消费升级三重变量</w:t>
      </w:r>
      <w:r>
        <w:rPr>
          <w:rFonts w:ascii="Times New Roman" w:hAnsi="Times New Roman" w:eastAsia="方正仿宋简体" w:cs="方正仿宋简体"/>
          <w:sz w:val="32"/>
          <w:szCs w:val="32"/>
          <w:lang w:val="en-US"/>
        </w:rPr>
        <w:t>，丰富完善青藏高原特色产业分析理论。依托娘亚牦牛、多玛绵羊等本土优良种质资源开展实证研判，系统厘清高海拔地区资源优势向经济优势转化内在机理，形成一套兼顾生态保护、产业增效、群众增收的可复制实践路径。针对以往产业分类标准模糊、评估体系缺失短板，建立生态适配与经济效益双维度产业分级评价机制，为</w:t>
      </w:r>
      <w:r>
        <w:rPr>
          <w:rFonts w:hint="eastAsia" w:ascii="Times New Roman" w:hAnsi="Times New Roman" w:eastAsia="方正仿宋简体" w:cs="方正仿宋简体"/>
          <w:sz w:val="32"/>
          <w:szCs w:val="32"/>
          <w:lang w:val="en-US" w:eastAsia="zh-CN"/>
        </w:rPr>
        <w:t>编制《目录》</w:t>
      </w:r>
      <w:r>
        <w:rPr>
          <w:rFonts w:ascii="Times New Roman" w:hAnsi="Times New Roman" w:eastAsia="方正仿宋简体" w:cs="方正仿宋简体"/>
          <w:sz w:val="32"/>
          <w:szCs w:val="32"/>
          <w:lang w:val="en-US"/>
        </w:rPr>
        <w:t>提供</w:t>
      </w:r>
      <w:r>
        <w:rPr>
          <w:rFonts w:hint="eastAsia" w:ascii="Times New Roman" w:hAnsi="Times New Roman" w:eastAsia="方正仿宋简体" w:cs="方正仿宋简体"/>
          <w:sz w:val="32"/>
          <w:szCs w:val="32"/>
          <w:lang w:val="en-US" w:eastAsia="zh-CN"/>
        </w:rPr>
        <w:t>合理有效的</w:t>
      </w:r>
      <w:r>
        <w:rPr>
          <w:rFonts w:ascii="Times New Roman" w:hAnsi="Times New Roman" w:eastAsia="方正仿宋简体" w:cs="方正仿宋简体"/>
          <w:sz w:val="32"/>
          <w:szCs w:val="32"/>
          <w:lang w:val="en-US"/>
        </w:rPr>
        <w:t>分析方法。</w:t>
      </w:r>
    </w:p>
    <w:p w14:paraId="695BCDE5">
      <w:pPr>
        <w:pStyle w:val="8"/>
        <w:topLinePunct/>
        <w:autoSpaceDE/>
        <w:autoSpaceDN/>
        <w:spacing w:before="0" w:line="576" w:lineRule="exact"/>
        <w:ind w:left="0" w:firstLine="640" w:firstLineChars="200"/>
        <w:jc w:val="both"/>
        <w:rPr>
          <w:rFonts w:ascii="Times New Roman" w:hAnsi="Times New Roman" w:eastAsia="方正仿宋简体" w:cs="方正仿宋简体"/>
          <w:sz w:val="32"/>
          <w:szCs w:val="32"/>
          <w:lang w:val="en-US"/>
        </w:rPr>
      </w:pPr>
      <w:r>
        <w:rPr>
          <w:rFonts w:ascii="Times New Roman" w:hAnsi="Times New Roman" w:eastAsia="方正仿宋简体" w:cs="方正仿宋简体"/>
          <w:sz w:val="32"/>
          <w:szCs w:val="32"/>
          <w:lang w:val="en-US"/>
        </w:rPr>
        <w:t>从产业施策层面，围绕牧业、能源、生态、文旅</w:t>
      </w:r>
      <w:r>
        <w:rPr>
          <w:rFonts w:hint="eastAsia" w:ascii="Times New Roman" w:hAnsi="Times New Roman" w:eastAsia="方正仿宋简体" w:cs="方正仿宋简体"/>
          <w:sz w:val="32"/>
          <w:szCs w:val="32"/>
          <w:lang w:val="en-US" w:eastAsia="zh-CN"/>
        </w:rPr>
        <w:t>“</w:t>
      </w:r>
      <w:r>
        <w:rPr>
          <w:rFonts w:ascii="Times New Roman" w:hAnsi="Times New Roman" w:eastAsia="方正仿宋简体" w:cs="方正仿宋简体"/>
          <w:sz w:val="32"/>
          <w:szCs w:val="32"/>
          <w:lang w:val="en-US"/>
        </w:rPr>
        <w:t>四大优势经济</w:t>
      </w:r>
      <w:r>
        <w:rPr>
          <w:rFonts w:hint="eastAsia" w:ascii="Times New Roman" w:hAnsi="Times New Roman" w:eastAsia="方正仿宋简体" w:cs="方正仿宋简体"/>
          <w:sz w:val="32"/>
          <w:szCs w:val="32"/>
          <w:lang w:val="en-US" w:eastAsia="zh-CN"/>
        </w:rPr>
        <w:t>”</w:t>
      </w:r>
      <w:r>
        <w:rPr>
          <w:rFonts w:ascii="Times New Roman" w:hAnsi="Times New Roman" w:eastAsia="方正仿宋简体" w:cs="方正仿宋简体"/>
          <w:sz w:val="32"/>
          <w:szCs w:val="32"/>
          <w:lang w:val="en-US"/>
        </w:rPr>
        <w:t>划定细分赛道，明确高原畜牧</w:t>
      </w:r>
      <w:r>
        <w:rPr>
          <w:rFonts w:hint="eastAsia" w:ascii="Times New Roman" w:hAnsi="Times New Roman" w:eastAsia="方正仿宋简体" w:cs="方正仿宋简体"/>
          <w:sz w:val="32"/>
          <w:szCs w:val="32"/>
          <w:lang w:val="en-US" w:eastAsia="zh-CN"/>
        </w:rPr>
        <w:t>“</w:t>
      </w:r>
      <w:r>
        <w:rPr>
          <w:rFonts w:ascii="Times New Roman" w:hAnsi="Times New Roman" w:eastAsia="方正仿宋简体" w:cs="方正仿宋简体"/>
          <w:sz w:val="32"/>
          <w:szCs w:val="32"/>
          <w:lang w:val="en-US"/>
        </w:rPr>
        <w:t>优草、优畜、优品、优链”、清洁能源</w:t>
      </w:r>
      <w:r>
        <w:rPr>
          <w:rFonts w:hint="eastAsia" w:ascii="Times New Roman" w:hAnsi="Times New Roman" w:eastAsia="方正仿宋简体" w:cs="方正仿宋简体"/>
          <w:sz w:val="32"/>
          <w:szCs w:val="32"/>
          <w:lang w:val="en-US" w:eastAsia="zh-CN"/>
        </w:rPr>
        <w:t>“</w:t>
      </w:r>
      <w:r>
        <w:rPr>
          <w:rFonts w:ascii="Times New Roman" w:hAnsi="Times New Roman" w:eastAsia="方正仿宋简体" w:cs="方正仿宋简体"/>
          <w:sz w:val="32"/>
          <w:szCs w:val="32"/>
          <w:lang w:val="en-US" w:eastAsia="zh-CN"/>
        </w:rPr>
        <w:t>风光储多能互补</w:t>
      </w:r>
      <w:r>
        <w:rPr>
          <w:rFonts w:hint="eastAsia" w:ascii="Times New Roman" w:hAnsi="Times New Roman" w:eastAsia="方正仿宋简体" w:cs="方正仿宋简体"/>
          <w:sz w:val="32"/>
          <w:szCs w:val="32"/>
          <w:lang w:val="en-US" w:eastAsia="zh-CN"/>
        </w:rPr>
        <w:t>”</w:t>
      </w:r>
      <w:r>
        <w:rPr>
          <w:rFonts w:ascii="Times New Roman" w:hAnsi="Times New Roman" w:eastAsia="方正仿宋简体" w:cs="方正仿宋简体"/>
          <w:sz w:val="32"/>
          <w:szCs w:val="32"/>
          <w:lang w:val="en-US"/>
        </w:rPr>
        <w:t>等差异化发展路径，为市场主体经营决策、基层经营组织发展提供清晰指引。从政策供给层面，按照产业生命周期实行分类施策，对初创潜力产业加大要素倾斜，对成熟主导产业侧重品牌提质，推动财政、土地、金融扶持由普惠投放转为精准滴灌，提升政策实施质效。紧扣自治区、</w:t>
      </w:r>
      <w:r>
        <w:rPr>
          <w:rFonts w:hint="eastAsia" w:ascii="Times New Roman" w:hAnsi="Times New Roman" w:eastAsia="方正仿宋简体" w:cs="方正仿宋简体"/>
          <w:sz w:val="32"/>
          <w:szCs w:val="32"/>
          <w:lang w:val="en-US" w:eastAsia="zh-CN"/>
        </w:rPr>
        <w:t>那曲</w:t>
      </w:r>
      <w:r>
        <w:rPr>
          <w:rFonts w:ascii="Times New Roman" w:hAnsi="Times New Roman" w:eastAsia="方正仿宋简体" w:cs="方正仿宋简体"/>
          <w:sz w:val="32"/>
          <w:szCs w:val="32"/>
          <w:lang w:val="en-US"/>
        </w:rPr>
        <w:t>市</w:t>
      </w:r>
      <w:r>
        <w:rPr>
          <w:rFonts w:hint="eastAsia" w:ascii="Times New Roman" w:hAnsi="Times New Roman" w:eastAsia="方正仿宋简体" w:cs="方正仿宋简体"/>
          <w:sz w:val="32"/>
          <w:szCs w:val="32"/>
          <w:lang w:val="en-US" w:eastAsia="zh-CN"/>
        </w:rPr>
        <w:t>“</w:t>
      </w:r>
      <w:r>
        <w:rPr>
          <w:rFonts w:ascii="Times New Roman" w:hAnsi="Times New Roman" w:eastAsia="方正仿宋简体" w:cs="方正仿宋简体"/>
          <w:sz w:val="32"/>
          <w:szCs w:val="32"/>
          <w:lang w:val="en-US"/>
        </w:rPr>
        <w:t>十五五</w:t>
      </w:r>
      <w:r>
        <w:rPr>
          <w:rFonts w:hint="eastAsia" w:ascii="Times New Roman" w:hAnsi="Times New Roman" w:eastAsia="方正仿宋简体" w:cs="方正仿宋简体"/>
          <w:sz w:val="32"/>
          <w:szCs w:val="32"/>
          <w:lang w:val="en-US" w:eastAsia="zh-CN"/>
        </w:rPr>
        <w:t>”</w:t>
      </w:r>
      <w:r>
        <w:rPr>
          <w:rFonts w:ascii="Times New Roman" w:hAnsi="Times New Roman" w:eastAsia="方正仿宋简体" w:cs="方正仿宋简体"/>
          <w:sz w:val="32"/>
          <w:szCs w:val="32"/>
          <w:lang w:val="en-US"/>
        </w:rPr>
        <w:t>规划重点任务，聚焦</w:t>
      </w:r>
      <w:bookmarkStart w:id="57" w:name="OLE_LINK59"/>
      <w:r>
        <w:rPr>
          <w:rFonts w:ascii="Times New Roman" w:hAnsi="Times New Roman" w:eastAsia="方正仿宋简体" w:cs="方正仿宋简体"/>
          <w:sz w:val="32"/>
          <w:szCs w:val="32"/>
          <w:lang w:val="en-US"/>
        </w:rPr>
        <w:t>生态</w:t>
      </w:r>
      <w:r>
        <w:rPr>
          <w:rFonts w:hint="eastAsia" w:ascii="Times New Roman" w:hAnsi="Times New Roman" w:eastAsia="方正仿宋简体" w:cs="方正仿宋简体"/>
          <w:sz w:val="32"/>
          <w:szCs w:val="32"/>
          <w:lang w:val="en-US"/>
        </w:rPr>
        <w:t>农牧</w:t>
      </w:r>
      <w:bookmarkEnd w:id="57"/>
      <w:r>
        <w:rPr>
          <w:rFonts w:hint="eastAsia" w:ascii="Times New Roman" w:hAnsi="Times New Roman" w:eastAsia="方正仿宋简体" w:cs="方正仿宋简体"/>
          <w:sz w:val="32"/>
          <w:szCs w:val="32"/>
          <w:lang w:val="en-US"/>
        </w:rPr>
        <w:t>文</w:t>
      </w:r>
      <w:r>
        <w:rPr>
          <w:rFonts w:ascii="Times New Roman" w:hAnsi="Times New Roman" w:eastAsia="方正仿宋简体" w:cs="方正仿宋简体"/>
          <w:sz w:val="32"/>
          <w:szCs w:val="32"/>
          <w:lang w:val="en-US"/>
        </w:rPr>
        <w:t>旅融合、电力外送等核心工程，实现上下规划同频共振。从富民振兴层面，以牦牛养殖、民族手工等群众关联度高的产业为抓手，推广</w:t>
      </w:r>
      <w:r>
        <w:rPr>
          <w:rFonts w:hint="eastAsia" w:ascii="Times New Roman" w:hAnsi="Times New Roman" w:eastAsia="方正仿宋简体" w:cs="方正仿宋简体"/>
          <w:sz w:val="32"/>
          <w:szCs w:val="32"/>
          <w:lang w:val="en-US" w:eastAsia="zh-CN"/>
        </w:rPr>
        <w:t>“</w:t>
      </w:r>
      <w:r>
        <w:rPr>
          <w:rFonts w:ascii="Times New Roman" w:hAnsi="Times New Roman" w:eastAsia="方正仿宋简体" w:cs="方正仿宋简体"/>
          <w:sz w:val="32"/>
          <w:szCs w:val="32"/>
          <w:lang w:val="en-US"/>
        </w:rPr>
        <w:t>原种场+合作社+农牧户</w:t>
      </w:r>
      <w:r>
        <w:rPr>
          <w:rFonts w:hint="eastAsia" w:ascii="Times New Roman" w:hAnsi="Times New Roman" w:eastAsia="方正仿宋简体" w:cs="方正仿宋简体"/>
          <w:sz w:val="32"/>
          <w:szCs w:val="32"/>
          <w:lang w:val="en-US" w:eastAsia="zh-CN"/>
        </w:rPr>
        <w:t>”</w:t>
      </w:r>
      <w:r>
        <w:rPr>
          <w:rFonts w:ascii="Times New Roman" w:hAnsi="Times New Roman" w:eastAsia="方正仿宋简体" w:cs="方正仿宋简体"/>
          <w:sz w:val="32"/>
          <w:szCs w:val="32"/>
          <w:lang w:val="en-US"/>
        </w:rPr>
        <w:t>利益联结模式，持续拓宽就近就业渠道，夯实共同富裕产业根基。</w:t>
      </w:r>
    </w:p>
    <w:p w14:paraId="01F6A65B">
      <w:pPr>
        <w:pStyle w:val="8"/>
        <w:topLinePunct/>
        <w:autoSpaceDE/>
        <w:autoSpaceDN/>
        <w:spacing w:before="0" w:line="576" w:lineRule="exact"/>
        <w:ind w:left="0" w:firstLine="640" w:firstLineChars="200"/>
        <w:jc w:val="both"/>
        <w:rPr>
          <w:rFonts w:ascii="Times New Roman" w:hAnsi="Times New Roman" w:eastAsia="方正仿宋简体" w:cs="方正仿宋简体"/>
          <w:sz w:val="32"/>
          <w:szCs w:val="32"/>
          <w:lang w:val="en-US" w:eastAsia="zh-CN"/>
        </w:rPr>
      </w:pPr>
      <w:r>
        <w:rPr>
          <w:rFonts w:ascii="Times New Roman" w:hAnsi="Times New Roman" w:eastAsia="方正仿宋简体" w:cs="方正仿宋简体"/>
          <w:sz w:val="32"/>
          <w:szCs w:val="32"/>
          <w:lang w:val="en-US"/>
        </w:rPr>
        <w:t>《目录》以</w:t>
      </w:r>
      <w:bookmarkStart w:id="58" w:name="OLE_LINK61"/>
      <w:r>
        <w:rPr>
          <w:rFonts w:ascii="Times New Roman" w:hAnsi="Times New Roman" w:eastAsia="方正仿宋简体" w:cs="方正仿宋简体"/>
          <w:sz w:val="32"/>
          <w:szCs w:val="32"/>
          <w:lang w:val="en-US"/>
        </w:rPr>
        <w:t>那曲</w:t>
      </w:r>
      <w:bookmarkEnd w:id="58"/>
      <w:r>
        <w:rPr>
          <w:rFonts w:ascii="Times New Roman" w:hAnsi="Times New Roman" w:eastAsia="方正仿宋简体" w:cs="方正仿宋简体"/>
          <w:sz w:val="32"/>
          <w:szCs w:val="32"/>
          <w:lang w:val="en-US"/>
        </w:rPr>
        <w:t>市11个县（区）全域范围为空间边界，紧扣牧业、能源、生态、文旅四大</w:t>
      </w:r>
      <w:bookmarkStart w:id="59" w:name="OLE_LINK62"/>
      <w:r>
        <w:rPr>
          <w:rFonts w:ascii="Times New Roman" w:hAnsi="Times New Roman" w:eastAsia="方正仿宋简体" w:cs="方正仿宋简体"/>
          <w:sz w:val="32"/>
          <w:szCs w:val="32"/>
          <w:lang w:val="en-US"/>
        </w:rPr>
        <w:t>优势</w:t>
      </w:r>
      <w:bookmarkEnd w:id="59"/>
      <w:r>
        <w:rPr>
          <w:rFonts w:ascii="Times New Roman" w:hAnsi="Times New Roman" w:eastAsia="方正仿宋简体" w:cs="方正仿宋简体"/>
          <w:sz w:val="32"/>
          <w:szCs w:val="32"/>
          <w:lang w:val="en-US"/>
        </w:rPr>
        <w:t>经济板块，锚定</w:t>
      </w:r>
      <w:r>
        <w:rPr>
          <w:rFonts w:hint="eastAsia" w:ascii="Times New Roman" w:hAnsi="Times New Roman" w:eastAsia="方正仿宋简体" w:cs="方正仿宋简体"/>
          <w:sz w:val="32"/>
          <w:szCs w:val="32"/>
          <w:lang w:val="en-US" w:eastAsia="zh-CN"/>
        </w:rPr>
        <w:t>“</w:t>
      </w:r>
      <w:r>
        <w:rPr>
          <w:rFonts w:ascii="Times New Roman" w:hAnsi="Times New Roman" w:eastAsia="方正仿宋简体" w:cs="方正仿宋简体"/>
          <w:sz w:val="32"/>
          <w:szCs w:val="32"/>
          <w:lang w:val="en-US"/>
        </w:rPr>
        <w:t>五地</w:t>
      </w:r>
      <w:r>
        <w:rPr>
          <w:rFonts w:hint="eastAsia" w:ascii="Times New Roman" w:hAnsi="Times New Roman" w:eastAsia="方正仿宋简体" w:cs="方正仿宋简体"/>
          <w:sz w:val="32"/>
          <w:szCs w:val="32"/>
          <w:lang w:val="en-US" w:eastAsia="zh-CN"/>
        </w:rPr>
        <w:t>”</w:t>
      </w:r>
      <w:r>
        <w:rPr>
          <w:rFonts w:ascii="Times New Roman" w:hAnsi="Times New Roman" w:eastAsia="方正仿宋简体" w:cs="方正仿宋简体"/>
          <w:sz w:val="32"/>
          <w:szCs w:val="32"/>
          <w:lang w:val="en-US"/>
        </w:rPr>
        <w:t>建设</w:t>
      </w:r>
      <w:r>
        <w:rPr>
          <w:rFonts w:hint="eastAsia" w:ascii="Times New Roman" w:hAnsi="Times New Roman" w:eastAsia="方正仿宋简体" w:cs="方正仿宋简体"/>
          <w:sz w:val="32"/>
          <w:szCs w:val="32"/>
          <w:lang w:val="en-US" w:eastAsia="zh-CN"/>
        </w:rPr>
        <w:t>发展</w:t>
      </w:r>
      <w:r>
        <w:rPr>
          <w:rFonts w:ascii="Times New Roman" w:hAnsi="Times New Roman" w:eastAsia="方正仿宋简体" w:cs="方正仿宋简体"/>
          <w:sz w:val="32"/>
          <w:szCs w:val="32"/>
          <w:lang w:val="en-US"/>
        </w:rPr>
        <w:t>总路径，从地理</w:t>
      </w:r>
      <w:r>
        <w:rPr>
          <w:rFonts w:ascii="Times New Roman" w:hAnsi="Times New Roman" w:eastAsia="方正仿宋简体" w:cs="方正仿宋简体"/>
          <w:sz w:val="32"/>
          <w:szCs w:val="32"/>
          <w:lang w:val="en-US" w:eastAsia="zh-CN"/>
        </w:rPr>
        <w:t>空间、产业体系、工作内容三大维度搭建完整编制逻辑，覆盖产业全生命周期各类核心要素。</w:t>
      </w:r>
    </w:p>
    <w:p w14:paraId="6E58B491">
      <w:pPr>
        <w:pStyle w:val="8"/>
        <w:topLinePunct/>
        <w:autoSpaceDE/>
        <w:autoSpaceDN/>
        <w:spacing w:before="0" w:line="576" w:lineRule="exact"/>
        <w:ind w:left="0" w:firstLine="640" w:firstLineChars="200"/>
        <w:jc w:val="both"/>
        <w:outlineLvl w:val="1"/>
        <w:rPr>
          <w:rFonts w:ascii="Times New Roman" w:hAnsi="Times New Roman" w:eastAsia="方正楷体简体" w:cs="方正仿宋简体"/>
          <w:sz w:val="32"/>
          <w:szCs w:val="32"/>
          <w:lang w:val="en-US" w:eastAsia="zh-CN"/>
        </w:rPr>
      </w:pPr>
      <w:bookmarkStart w:id="60" w:name="_Toc243241409"/>
      <w:r>
        <w:rPr>
          <w:rFonts w:ascii="Times New Roman" w:hAnsi="Times New Roman" w:eastAsia="方正楷体简体" w:cs="方正仿宋简体"/>
          <w:sz w:val="32"/>
          <w:szCs w:val="32"/>
          <w:lang w:val="en-US" w:eastAsia="zh-CN"/>
        </w:rPr>
        <w:t>（一）地理空间维度</w:t>
      </w:r>
      <w:bookmarkEnd w:id="60"/>
    </w:p>
    <w:p w14:paraId="5C1411C4">
      <w:pPr>
        <w:pStyle w:val="8"/>
        <w:topLinePunct/>
        <w:autoSpaceDE/>
        <w:autoSpaceDN/>
        <w:spacing w:before="0" w:line="576" w:lineRule="exact"/>
        <w:ind w:left="0" w:firstLine="640" w:firstLineChars="200"/>
        <w:jc w:val="both"/>
        <w:rPr>
          <w:rFonts w:ascii="Times New Roman" w:hAnsi="Times New Roman" w:eastAsia="方正仿宋简体" w:cs="方正仿宋简体"/>
          <w:sz w:val="32"/>
          <w:szCs w:val="32"/>
          <w:lang w:val="en-US" w:eastAsia="zh-CN"/>
        </w:rPr>
      </w:pPr>
      <w:r>
        <w:rPr>
          <w:rFonts w:ascii="Times New Roman" w:hAnsi="Times New Roman" w:eastAsia="方正仿宋简体" w:cs="方正仿宋简体"/>
          <w:sz w:val="32"/>
          <w:szCs w:val="32"/>
          <w:lang w:val="en-US" w:eastAsia="zh-CN"/>
        </w:rPr>
        <w:t>严格对标西部鼓励类产业政策，结合资源分布、生态管控要求，划定五大特色产业集中发展片区。</w:t>
      </w:r>
    </w:p>
    <w:p w14:paraId="08FA7D20">
      <w:pPr>
        <w:pStyle w:val="8"/>
        <w:topLinePunct/>
        <w:autoSpaceDE/>
        <w:autoSpaceDN/>
        <w:spacing w:before="0" w:line="576" w:lineRule="exact"/>
        <w:ind w:left="0" w:firstLine="640" w:firstLineChars="200"/>
        <w:jc w:val="both"/>
        <w:rPr>
          <w:rFonts w:ascii="Times New Roman" w:hAnsi="Times New Roman" w:eastAsia="方正仿宋简体" w:cs="方正仿宋简体"/>
          <w:sz w:val="32"/>
          <w:szCs w:val="32"/>
          <w:lang w:val="en-US"/>
        </w:rPr>
      </w:pPr>
      <w:r>
        <w:rPr>
          <w:rFonts w:hint="eastAsia" w:ascii="Times New Roman" w:hAnsi="Times New Roman" w:eastAsia="方正仿宋简体" w:cs="方正仿宋简体"/>
          <w:sz w:val="32"/>
          <w:szCs w:val="32"/>
          <w:lang w:val="en-US" w:eastAsia="zh-CN"/>
        </w:rPr>
        <w:t>1．</w:t>
      </w:r>
      <w:r>
        <w:rPr>
          <w:rFonts w:ascii="Times New Roman" w:hAnsi="Times New Roman" w:eastAsia="方正仿宋简体" w:cs="方正仿宋简体"/>
          <w:sz w:val="32"/>
          <w:szCs w:val="32"/>
          <w:lang w:val="en-US" w:eastAsia="zh-CN"/>
        </w:rPr>
        <w:t>天然草场畜牧集聚区：以色尼</w:t>
      </w:r>
      <w:r>
        <w:rPr>
          <w:rFonts w:hint="eastAsia" w:ascii="Times New Roman" w:hAnsi="Times New Roman" w:eastAsia="方正仿宋简体" w:cs="方正仿宋简体"/>
          <w:sz w:val="32"/>
          <w:szCs w:val="32"/>
          <w:lang w:val="en-US" w:eastAsia="zh-CN"/>
        </w:rPr>
        <w:t>区</w:t>
      </w:r>
      <w:r>
        <w:rPr>
          <w:rFonts w:ascii="Times New Roman" w:hAnsi="Times New Roman" w:eastAsia="方正仿宋简体" w:cs="方正仿宋简体"/>
          <w:sz w:val="32"/>
          <w:szCs w:val="32"/>
          <w:lang w:val="en-US" w:eastAsia="zh-CN"/>
        </w:rPr>
        <w:t>、聂荣</w:t>
      </w:r>
      <w:r>
        <w:rPr>
          <w:rFonts w:hint="eastAsia" w:ascii="Times New Roman" w:hAnsi="Times New Roman" w:eastAsia="方正仿宋简体" w:cs="方正仿宋简体"/>
          <w:sz w:val="32"/>
          <w:szCs w:val="32"/>
          <w:lang w:val="en-US" w:eastAsia="zh-CN"/>
        </w:rPr>
        <w:t>县</w:t>
      </w:r>
      <w:r>
        <w:rPr>
          <w:rFonts w:ascii="Times New Roman" w:hAnsi="Times New Roman" w:eastAsia="方正仿宋简体" w:cs="方正仿宋简体"/>
          <w:sz w:val="32"/>
          <w:szCs w:val="32"/>
          <w:lang w:val="en-US" w:eastAsia="zh-CN"/>
        </w:rPr>
        <w:t>、嘉黎</w:t>
      </w:r>
      <w:r>
        <w:rPr>
          <w:rFonts w:hint="eastAsia" w:ascii="Times New Roman" w:hAnsi="Times New Roman" w:eastAsia="方正仿宋简体" w:cs="方正仿宋简体"/>
          <w:sz w:val="32"/>
          <w:szCs w:val="32"/>
          <w:lang w:val="en-US" w:eastAsia="zh-CN"/>
        </w:rPr>
        <w:t>县、班戈县、安多县</w:t>
      </w:r>
      <w:r>
        <w:rPr>
          <w:rFonts w:ascii="Times New Roman" w:hAnsi="Times New Roman" w:eastAsia="方正仿宋简体" w:cs="方正仿宋简体"/>
          <w:sz w:val="32"/>
          <w:szCs w:val="32"/>
          <w:lang w:val="en-US" w:eastAsia="zh-CN"/>
        </w:rPr>
        <w:t>等传统牧业县</w:t>
      </w:r>
      <w:r>
        <w:rPr>
          <w:rFonts w:hint="eastAsia" w:ascii="Times New Roman" w:hAnsi="Times New Roman" w:eastAsia="方正仿宋简体" w:cs="方正仿宋简体"/>
          <w:sz w:val="32"/>
          <w:szCs w:val="32"/>
          <w:lang w:val="en-US" w:eastAsia="zh-CN"/>
        </w:rPr>
        <w:t>（区）</w:t>
      </w:r>
      <w:r>
        <w:rPr>
          <w:rFonts w:ascii="Times New Roman" w:hAnsi="Times New Roman" w:eastAsia="方正仿宋简体" w:cs="方正仿宋简体"/>
          <w:sz w:val="32"/>
          <w:szCs w:val="32"/>
          <w:lang w:val="en-US" w:eastAsia="zh-CN"/>
        </w:rPr>
        <w:t>为核心，集中</w:t>
      </w:r>
      <w:r>
        <w:rPr>
          <w:rFonts w:ascii="Times New Roman" w:hAnsi="Times New Roman" w:eastAsia="方正仿宋简体" w:cs="方正仿宋简体"/>
          <w:sz w:val="32"/>
          <w:szCs w:val="32"/>
          <w:lang w:val="en-US"/>
        </w:rPr>
        <w:t>布局优良畜种标准化繁育、规模化养殖基地，打造藏北高原现代畜牧示范样板。</w:t>
      </w:r>
    </w:p>
    <w:p w14:paraId="0C9EDDD7">
      <w:pPr>
        <w:pStyle w:val="8"/>
        <w:topLinePunct/>
        <w:autoSpaceDE/>
        <w:autoSpaceDN/>
        <w:spacing w:before="0" w:line="576" w:lineRule="exact"/>
        <w:ind w:left="0" w:firstLine="640" w:firstLineChars="200"/>
        <w:jc w:val="both"/>
        <w:rPr>
          <w:rFonts w:ascii="Times New Roman" w:hAnsi="Times New Roman" w:eastAsia="方正仿宋简体" w:cs="方正仿宋简体"/>
          <w:sz w:val="32"/>
          <w:szCs w:val="32"/>
          <w:lang w:val="en-US"/>
        </w:rPr>
      </w:pPr>
      <w:r>
        <w:rPr>
          <w:rFonts w:hint="eastAsia" w:ascii="Times New Roman" w:hAnsi="Times New Roman" w:eastAsia="方正仿宋简体" w:cs="方正仿宋简体"/>
          <w:sz w:val="32"/>
          <w:szCs w:val="32"/>
          <w:lang w:val="en-US" w:eastAsia="zh-CN"/>
        </w:rPr>
        <w:t>2．</w:t>
      </w:r>
      <w:r>
        <w:rPr>
          <w:rFonts w:ascii="Times New Roman" w:hAnsi="Times New Roman" w:eastAsia="方正仿宋简体" w:cs="方正仿宋简体"/>
          <w:sz w:val="32"/>
          <w:szCs w:val="32"/>
          <w:lang w:val="en-US" w:eastAsia="zh-CN"/>
        </w:rPr>
        <w:t>清洁能源集中开发区</w:t>
      </w:r>
      <w:r>
        <w:rPr>
          <w:rFonts w:ascii="Times New Roman" w:hAnsi="Times New Roman" w:eastAsia="方正仿宋简体" w:cs="方正仿宋简体"/>
          <w:sz w:val="32"/>
          <w:szCs w:val="32"/>
          <w:lang w:val="en-US"/>
        </w:rPr>
        <w:t>：重点布局色尼</w:t>
      </w:r>
      <w:r>
        <w:rPr>
          <w:rFonts w:hint="eastAsia" w:ascii="Times New Roman" w:hAnsi="Times New Roman" w:eastAsia="方正仿宋简体" w:cs="方正仿宋简体"/>
          <w:sz w:val="32"/>
          <w:szCs w:val="32"/>
          <w:lang w:val="en-US" w:eastAsia="zh-CN"/>
        </w:rPr>
        <w:t>区</w:t>
      </w:r>
      <w:r>
        <w:rPr>
          <w:rFonts w:ascii="Times New Roman" w:hAnsi="Times New Roman" w:eastAsia="方正仿宋简体" w:cs="方正仿宋简体"/>
          <w:sz w:val="32"/>
          <w:szCs w:val="32"/>
          <w:lang w:val="en-US"/>
        </w:rPr>
        <w:t>、班戈</w:t>
      </w:r>
      <w:r>
        <w:rPr>
          <w:rFonts w:hint="eastAsia" w:ascii="Times New Roman" w:hAnsi="Times New Roman" w:eastAsia="方正仿宋简体" w:cs="方正仿宋简体"/>
          <w:sz w:val="32"/>
          <w:szCs w:val="32"/>
          <w:lang w:val="en-US" w:eastAsia="zh-CN"/>
        </w:rPr>
        <w:t>县</w:t>
      </w:r>
      <w:r>
        <w:rPr>
          <w:rFonts w:ascii="Times New Roman" w:hAnsi="Times New Roman" w:eastAsia="方正仿宋简体" w:cs="方正仿宋简体"/>
          <w:sz w:val="32"/>
          <w:szCs w:val="32"/>
          <w:lang w:val="en-US"/>
        </w:rPr>
        <w:t>风光资源富集区域，统筹光伏、风电、储能一体化连片开发，系统破解电力外送、就地消纳瓶颈。</w:t>
      </w:r>
    </w:p>
    <w:p w14:paraId="45B130D6">
      <w:pPr>
        <w:pStyle w:val="8"/>
        <w:topLinePunct/>
        <w:autoSpaceDE/>
        <w:autoSpaceDN/>
        <w:spacing w:before="0" w:line="576" w:lineRule="exact"/>
        <w:ind w:left="0" w:firstLine="640" w:firstLineChars="200"/>
        <w:jc w:val="both"/>
        <w:rPr>
          <w:rFonts w:ascii="Times New Roman" w:hAnsi="Times New Roman" w:eastAsia="方正仿宋简体" w:cs="方正仿宋简体"/>
          <w:sz w:val="32"/>
          <w:szCs w:val="32"/>
          <w:lang w:val="en-US"/>
        </w:rPr>
      </w:pPr>
      <w:r>
        <w:rPr>
          <w:rFonts w:hint="eastAsia" w:ascii="Times New Roman" w:hAnsi="Times New Roman" w:eastAsia="方正仿宋简体" w:cs="方正仿宋简体"/>
          <w:sz w:val="32"/>
          <w:szCs w:val="32"/>
          <w:lang w:val="en-US" w:eastAsia="zh-CN"/>
        </w:rPr>
        <w:t>3．生态农</w:t>
      </w:r>
      <w:r>
        <w:rPr>
          <w:rFonts w:ascii="Times New Roman" w:hAnsi="Times New Roman" w:eastAsia="方正仿宋简体" w:cs="方正仿宋简体"/>
          <w:sz w:val="32"/>
          <w:szCs w:val="32"/>
          <w:lang w:val="en-US" w:eastAsia="zh-CN"/>
        </w:rPr>
        <w:t>牧文旅融合发展廊道</w:t>
      </w:r>
      <w:r>
        <w:rPr>
          <w:rFonts w:ascii="Times New Roman" w:hAnsi="Times New Roman" w:eastAsia="方正仿宋简体" w:cs="方正仿宋简体"/>
          <w:sz w:val="32"/>
          <w:szCs w:val="32"/>
          <w:lang w:val="en-US"/>
        </w:rPr>
        <w:t>：依托G109、G317干线公路串联景区、</w:t>
      </w:r>
      <w:r>
        <w:rPr>
          <w:rFonts w:hint="eastAsia" w:ascii="Times New Roman" w:hAnsi="Times New Roman" w:eastAsia="方正仿宋简体" w:cs="方正仿宋简体"/>
          <w:sz w:val="32"/>
          <w:szCs w:val="32"/>
          <w:lang w:val="en-US" w:eastAsia="zh-CN"/>
        </w:rPr>
        <w:t>乡（镇）</w:t>
      </w:r>
      <w:r>
        <w:rPr>
          <w:rFonts w:ascii="Times New Roman" w:hAnsi="Times New Roman" w:eastAsia="方正仿宋简体" w:cs="方正仿宋简体"/>
          <w:sz w:val="32"/>
          <w:szCs w:val="32"/>
          <w:lang w:val="en-US"/>
        </w:rPr>
        <w:t>驿站、非遗工坊，统筹产业布局与</w:t>
      </w:r>
      <w:r>
        <w:rPr>
          <w:rFonts w:hint="eastAsia" w:ascii="Times New Roman" w:hAnsi="Times New Roman" w:eastAsia="方正仿宋简体" w:cs="方正仿宋简体"/>
          <w:sz w:val="32"/>
          <w:szCs w:val="32"/>
          <w:lang w:val="en-US" w:eastAsia="zh-CN"/>
        </w:rPr>
        <w:t>生态保护红线</w:t>
      </w:r>
      <w:r>
        <w:rPr>
          <w:rFonts w:ascii="Times New Roman" w:hAnsi="Times New Roman" w:eastAsia="方正仿宋简体" w:cs="方正仿宋简体"/>
          <w:sz w:val="32"/>
          <w:szCs w:val="32"/>
          <w:lang w:val="en-US"/>
        </w:rPr>
        <w:t>管控，布局民俗体验、手工展销一体化业态。</w:t>
      </w:r>
    </w:p>
    <w:p w14:paraId="39AB5045">
      <w:pPr>
        <w:pStyle w:val="8"/>
        <w:topLinePunct/>
        <w:autoSpaceDE/>
        <w:autoSpaceDN/>
        <w:spacing w:before="0" w:line="576" w:lineRule="exact"/>
        <w:ind w:left="0" w:firstLine="640" w:firstLineChars="200"/>
        <w:jc w:val="both"/>
        <w:rPr>
          <w:rFonts w:ascii="Times New Roman" w:hAnsi="Times New Roman" w:eastAsia="方正仿宋简体" w:cs="方正仿宋简体"/>
          <w:sz w:val="32"/>
          <w:szCs w:val="32"/>
          <w:lang w:val="en-US"/>
        </w:rPr>
      </w:pPr>
      <w:r>
        <w:rPr>
          <w:rFonts w:hint="eastAsia" w:ascii="Times New Roman" w:hAnsi="Times New Roman" w:eastAsia="方正仿宋简体" w:cs="方正仿宋简体"/>
          <w:sz w:val="32"/>
          <w:szCs w:val="32"/>
          <w:lang w:val="en-US" w:eastAsia="zh-CN"/>
        </w:rPr>
        <w:t>4．</w:t>
      </w:r>
      <w:r>
        <w:rPr>
          <w:rFonts w:ascii="Times New Roman" w:hAnsi="Times New Roman" w:eastAsia="方正仿宋简体" w:cs="方正仿宋简体"/>
          <w:sz w:val="32"/>
          <w:szCs w:val="32"/>
          <w:lang w:val="en-US"/>
        </w:rPr>
        <w:t>道地藏药材管控培育区：全市现有植物药材408种、动物药材91种</w:t>
      </w:r>
      <w:r>
        <w:rPr>
          <w:rFonts w:hint="eastAsia" w:ascii="Times New Roman" w:hAnsi="Times New Roman" w:eastAsia="方正仿宋简体" w:cs="方正仿宋简体"/>
          <w:sz w:val="32"/>
          <w:szCs w:val="32"/>
          <w:lang w:val="en-US" w:eastAsia="zh-CN"/>
        </w:rPr>
        <w:t>。</w:t>
      </w:r>
      <w:r>
        <w:rPr>
          <w:rFonts w:ascii="Times New Roman" w:hAnsi="Times New Roman" w:eastAsia="方正仿宋简体" w:cs="方正仿宋简体"/>
          <w:sz w:val="32"/>
          <w:szCs w:val="32"/>
          <w:lang w:val="en-US"/>
        </w:rPr>
        <w:t>针对当前无序</w:t>
      </w:r>
      <w:r>
        <w:rPr>
          <w:rFonts w:hint="eastAsia" w:ascii="Times New Roman" w:hAnsi="Times New Roman" w:eastAsia="方正仿宋简体" w:cs="方正仿宋简体"/>
          <w:sz w:val="32"/>
          <w:szCs w:val="32"/>
          <w:lang w:val="en-US" w:eastAsia="zh-CN"/>
        </w:rPr>
        <w:t>采集</w:t>
      </w:r>
      <w:r>
        <w:rPr>
          <w:rFonts w:ascii="Times New Roman" w:hAnsi="Times New Roman" w:eastAsia="方正仿宋简体" w:cs="方正仿宋简体"/>
          <w:sz w:val="32"/>
          <w:szCs w:val="32"/>
          <w:lang w:val="en-US"/>
        </w:rPr>
        <w:t>、粗放经营问题，实行分区</w:t>
      </w:r>
      <w:r>
        <w:rPr>
          <w:rFonts w:hint="eastAsia" w:ascii="Times New Roman" w:hAnsi="Times New Roman" w:eastAsia="方正仿宋简体" w:cs="方正仿宋简体"/>
          <w:sz w:val="32"/>
          <w:szCs w:val="32"/>
          <w:lang w:val="en-US" w:eastAsia="zh-CN"/>
        </w:rPr>
        <w:t>采集</w:t>
      </w:r>
      <w:r>
        <w:rPr>
          <w:rFonts w:ascii="Times New Roman" w:hAnsi="Times New Roman" w:eastAsia="方正仿宋简体" w:cs="方正仿宋简体"/>
          <w:sz w:val="32"/>
          <w:szCs w:val="32"/>
          <w:lang w:val="en-US"/>
        </w:rPr>
        <w:t>、生态抚育制度，统一规范</w:t>
      </w:r>
      <w:r>
        <w:rPr>
          <w:rFonts w:hint="eastAsia" w:ascii="Times New Roman" w:hAnsi="Times New Roman" w:eastAsia="方正仿宋简体" w:cs="方正仿宋简体"/>
          <w:sz w:val="32"/>
          <w:szCs w:val="32"/>
          <w:lang w:val="en-US" w:eastAsia="zh-CN"/>
        </w:rPr>
        <w:t>采购销</w:t>
      </w:r>
      <w:r>
        <w:rPr>
          <w:rFonts w:ascii="Times New Roman" w:hAnsi="Times New Roman" w:eastAsia="方正仿宋简体" w:cs="方正仿宋简体"/>
          <w:sz w:val="32"/>
          <w:szCs w:val="32"/>
          <w:lang w:val="en-US"/>
        </w:rPr>
        <w:t>交易流程，培育</w:t>
      </w:r>
      <w:r>
        <w:rPr>
          <w:rFonts w:hint="eastAsia" w:ascii="Times New Roman" w:hAnsi="Times New Roman" w:eastAsia="方正仿宋简体" w:cs="方正仿宋简体"/>
          <w:sz w:val="32"/>
          <w:szCs w:val="32"/>
          <w:lang w:val="en-US" w:eastAsia="zh-CN"/>
        </w:rPr>
        <w:t>“</w:t>
      </w:r>
      <w:r>
        <w:rPr>
          <w:rFonts w:ascii="Times New Roman" w:hAnsi="Times New Roman" w:eastAsia="方正仿宋简体" w:cs="方正仿宋简体"/>
          <w:sz w:val="32"/>
          <w:szCs w:val="32"/>
          <w:lang w:val="en-US"/>
        </w:rPr>
        <w:t>极地藏药</w:t>
      </w:r>
      <w:r>
        <w:rPr>
          <w:rFonts w:hint="eastAsia" w:ascii="Times New Roman" w:hAnsi="Times New Roman" w:eastAsia="方正仿宋简体" w:cs="方正仿宋简体"/>
          <w:sz w:val="32"/>
          <w:szCs w:val="32"/>
          <w:lang w:val="en-US" w:eastAsia="zh-CN"/>
        </w:rPr>
        <w:t>（那药）”</w:t>
      </w:r>
      <w:r>
        <w:rPr>
          <w:rFonts w:ascii="Times New Roman" w:hAnsi="Times New Roman" w:eastAsia="方正仿宋简体" w:cs="方正仿宋简体"/>
          <w:sz w:val="32"/>
          <w:szCs w:val="32"/>
          <w:lang w:val="en-US"/>
        </w:rPr>
        <w:t>区域特色标识。</w:t>
      </w:r>
    </w:p>
    <w:p w14:paraId="7C332853">
      <w:pPr>
        <w:pStyle w:val="8"/>
        <w:topLinePunct/>
        <w:autoSpaceDE/>
        <w:autoSpaceDN/>
        <w:spacing w:before="0" w:line="576" w:lineRule="exact"/>
        <w:ind w:left="0" w:firstLine="640" w:firstLineChars="200"/>
        <w:jc w:val="both"/>
        <w:rPr>
          <w:rFonts w:hint="eastAsia" w:ascii="Times New Roman" w:hAnsi="Times New Roman" w:eastAsia="方正仿宋简体" w:cs="方正仿宋简体"/>
          <w:sz w:val="32"/>
          <w:szCs w:val="32"/>
          <w:lang w:val="en-US"/>
        </w:rPr>
      </w:pPr>
      <w:bookmarkStart w:id="61" w:name="OLE_LINK63"/>
      <w:r>
        <w:rPr>
          <w:rFonts w:hint="eastAsia" w:ascii="Times New Roman" w:hAnsi="Times New Roman" w:eastAsia="方正仿宋简体" w:cs="方正仿宋简体"/>
          <w:sz w:val="32"/>
          <w:szCs w:val="32"/>
          <w:lang w:val="en-US" w:eastAsia="zh-CN"/>
        </w:rPr>
        <w:t>5．</w:t>
      </w:r>
      <w:r>
        <w:rPr>
          <w:rFonts w:hint="eastAsia" w:ascii="Times New Roman" w:hAnsi="Times New Roman" w:eastAsia="方正仿宋简体" w:cs="方正仿宋简体"/>
          <w:sz w:val="32"/>
          <w:szCs w:val="32"/>
          <w:lang w:val="en-US"/>
        </w:rPr>
        <w:t>天然饮用水规范化开发节点：立足“中华水塔”认知定位，依托冰川、深层地下优质水源，统筹生态战略储备与高端产品开发，培育“极地饮用水（那水）”区域特色标识。以班戈县青龙乡4村天然苏打水水源地为标杆示范，统筹盘活</w:t>
      </w:r>
      <w:bookmarkStart w:id="62" w:name="OLE_LINK150"/>
      <w:r>
        <w:rPr>
          <w:rFonts w:hint="eastAsia" w:ascii="Times New Roman" w:hAnsi="Times New Roman" w:eastAsia="方正仿宋简体" w:cs="方正仿宋简体"/>
          <w:sz w:val="32"/>
          <w:szCs w:val="32"/>
          <w:lang w:val="en-US"/>
        </w:rPr>
        <w:t>比如县夏曲卡锂锶型天然矿泉水、申扎县念青唐古拉北麓冰川山泉</w:t>
      </w:r>
      <w:bookmarkEnd w:id="62"/>
      <w:r>
        <w:rPr>
          <w:rFonts w:hint="eastAsia" w:ascii="Times New Roman" w:hAnsi="Times New Roman" w:eastAsia="方正仿宋简体" w:cs="方正仿宋简体"/>
          <w:sz w:val="32"/>
          <w:szCs w:val="32"/>
          <w:lang w:val="en-US"/>
        </w:rPr>
        <w:t>等优质水源储备资源，坚持先评价、后开发，科学划定水源保护范围，打造品类多元、梯度发展的极地高端饮用水产业集群。</w:t>
      </w:r>
    </w:p>
    <w:bookmarkEnd w:id="61"/>
    <w:p w14:paraId="519F005F">
      <w:pPr>
        <w:pStyle w:val="8"/>
        <w:topLinePunct/>
        <w:autoSpaceDE/>
        <w:autoSpaceDN/>
        <w:spacing w:before="0" w:line="576" w:lineRule="exact"/>
        <w:ind w:left="0" w:firstLine="640" w:firstLineChars="200"/>
        <w:jc w:val="both"/>
        <w:outlineLvl w:val="1"/>
        <w:rPr>
          <w:rFonts w:ascii="Times New Roman" w:hAnsi="Times New Roman" w:eastAsia="方正楷体简体" w:cs="方正仿宋简体"/>
          <w:sz w:val="32"/>
          <w:szCs w:val="32"/>
          <w:lang w:val="en-US" w:eastAsia="zh-CN"/>
        </w:rPr>
      </w:pPr>
      <w:bookmarkStart w:id="63" w:name="_Toc243241410"/>
      <w:r>
        <w:rPr>
          <w:rFonts w:ascii="Times New Roman" w:hAnsi="Times New Roman" w:eastAsia="方正楷体简体" w:cs="方正仿宋简体"/>
          <w:sz w:val="32"/>
          <w:szCs w:val="32"/>
          <w:lang w:val="en-US" w:eastAsia="zh-CN"/>
        </w:rPr>
        <w:t>（二）产业体系维度</w:t>
      </w:r>
      <w:bookmarkEnd w:id="63"/>
    </w:p>
    <w:p w14:paraId="5BDE1F0B">
      <w:pPr>
        <w:pStyle w:val="8"/>
        <w:topLinePunct/>
        <w:autoSpaceDE/>
        <w:autoSpaceDN/>
        <w:spacing w:before="0" w:line="576" w:lineRule="exact"/>
        <w:ind w:left="0" w:firstLine="640" w:firstLineChars="200"/>
        <w:jc w:val="both"/>
        <w:rPr>
          <w:rFonts w:ascii="Times New Roman" w:hAnsi="Times New Roman" w:eastAsia="方正仿宋简体" w:cs="方正仿宋简体"/>
          <w:sz w:val="32"/>
          <w:szCs w:val="32"/>
          <w:lang w:val="en-US"/>
        </w:rPr>
      </w:pPr>
      <w:r>
        <w:rPr>
          <w:rFonts w:ascii="Times New Roman" w:hAnsi="Times New Roman" w:eastAsia="方正仿宋简体" w:cs="方正仿宋简体"/>
          <w:sz w:val="32"/>
          <w:szCs w:val="32"/>
          <w:lang w:val="en-US"/>
        </w:rPr>
        <w:t>紧扣</w:t>
      </w:r>
      <w:r>
        <w:rPr>
          <w:rFonts w:hint="eastAsia" w:ascii="Times New Roman" w:hAnsi="Times New Roman" w:eastAsia="方正仿宋简体" w:cs="方正仿宋简体"/>
          <w:sz w:val="32"/>
          <w:szCs w:val="32"/>
          <w:lang w:val="en-US" w:eastAsia="zh-CN"/>
        </w:rPr>
        <w:t>“</w:t>
      </w:r>
      <w:r>
        <w:rPr>
          <w:rFonts w:ascii="Times New Roman" w:hAnsi="Times New Roman" w:eastAsia="方正仿宋简体" w:cs="方正仿宋简体"/>
          <w:sz w:val="32"/>
          <w:szCs w:val="32"/>
          <w:lang w:val="en-US" w:eastAsia="zh-CN"/>
        </w:rPr>
        <w:t>十五五</w:t>
      </w:r>
      <w:r>
        <w:rPr>
          <w:rFonts w:hint="eastAsia" w:ascii="Times New Roman" w:hAnsi="Times New Roman" w:eastAsia="方正仿宋简体" w:cs="方正仿宋简体"/>
          <w:sz w:val="32"/>
          <w:szCs w:val="32"/>
          <w:lang w:val="en-US" w:eastAsia="zh-CN"/>
        </w:rPr>
        <w:t>”</w:t>
      </w:r>
      <w:r>
        <w:rPr>
          <w:rFonts w:ascii="Times New Roman" w:hAnsi="Times New Roman" w:eastAsia="方正仿宋简体" w:cs="方正仿宋简体"/>
          <w:sz w:val="32"/>
          <w:szCs w:val="32"/>
          <w:lang w:val="en-US"/>
        </w:rPr>
        <w:t>培育新质生产力总体部署，结合产业成熟度、经济贡献、中长期增长潜力，划分四大产业层级，明确各赛道发展重点。</w:t>
      </w:r>
    </w:p>
    <w:p w14:paraId="7359BD5D">
      <w:pPr>
        <w:pStyle w:val="8"/>
        <w:topLinePunct/>
        <w:autoSpaceDE/>
        <w:autoSpaceDN/>
        <w:spacing w:before="0" w:line="576" w:lineRule="exact"/>
        <w:ind w:left="0" w:firstLine="640" w:firstLineChars="200"/>
        <w:jc w:val="both"/>
        <w:rPr>
          <w:rFonts w:ascii="Times New Roman" w:hAnsi="Times New Roman" w:eastAsia="方正仿宋简体" w:cs="方正仿宋简体"/>
          <w:sz w:val="32"/>
          <w:szCs w:val="32"/>
          <w:lang w:val="en-US"/>
        </w:rPr>
      </w:pPr>
      <w:r>
        <w:rPr>
          <w:rFonts w:hint="eastAsia" w:ascii="Times New Roman" w:hAnsi="Times New Roman" w:eastAsia="方正仿宋简体" w:cs="方正仿宋简体"/>
          <w:sz w:val="32"/>
          <w:szCs w:val="32"/>
          <w:lang w:val="en-US" w:eastAsia="zh-CN"/>
        </w:rPr>
        <w:t>1．</w:t>
      </w:r>
      <w:r>
        <w:rPr>
          <w:rFonts w:ascii="Times New Roman" w:hAnsi="Times New Roman" w:eastAsia="方正仿宋简体" w:cs="方正仿宋简体"/>
          <w:sz w:val="32"/>
          <w:szCs w:val="32"/>
          <w:lang w:val="en-US"/>
        </w:rPr>
        <w:t>基础产业：以高原特色种养、民族手工、藏医药为底盘。</w:t>
      </w:r>
      <w:r>
        <w:rPr>
          <w:rFonts w:ascii="Times New Roman" w:hAnsi="Times New Roman" w:eastAsia="方正仿宋简体" w:cs="方正仿宋简体"/>
          <w:sz w:val="32"/>
          <w:szCs w:val="32"/>
          <w:lang w:val="en-US" w:eastAsia="zh-CN"/>
        </w:rPr>
        <w:t>聚焦娘亚牦牛</w:t>
      </w:r>
      <w:r>
        <w:rPr>
          <w:rFonts w:ascii="Times New Roman" w:hAnsi="Times New Roman" w:eastAsia="方正仿宋简体" w:cs="方正仿宋简体"/>
          <w:sz w:val="32"/>
          <w:szCs w:val="32"/>
          <w:lang w:val="en-US"/>
        </w:rPr>
        <w:t>、白绒山羊良种繁育，延伸肉奶皮毛精深加工链条；同步发展青稞、芫根、黑美人土豆等高海拔特色种植业，兼顾粮食安全与特色经济作物开发。</w:t>
      </w:r>
    </w:p>
    <w:p w14:paraId="54C286DB">
      <w:pPr>
        <w:pStyle w:val="8"/>
        <w:topLinePunct/>
        <w:autoSpaceDE/>
        <w:autoSpaceDN/>
        <w:spacing w:before="0" w:line="576" w:lineRule="exact"/>
        <w:ind w:left="0" w:firstLine="640" w:firstLineChars="200"/>
        <w:jc w:val="both"/>
        <w:rPr>
          <w:rFonts w:ascii="Times New Roman" w:hAnsi="Times New Roman" w:eastAsia="方正仿宋简体" w:cs="方正仿宋简体"/>
          <w:sz w:val="32"/>
          <w:szCs w:val="32"/>
          <w:lang w:val="en-US"/>
        </w:rPr>
      </w:pPr>
      <w:r>
        <w:rPr>
          <w:rFonts w:hint="eastAsia" w:ascii="Times New Roman" w:hAnsi="Times New Roman" w:eastAsia="方正仿宋简体" w:cs="方正仿宋简体"/>
          <w:sz w:val="32"/>
          <w:szCs w:val="32"/>
          <w:lang w:val="en-US" w:eastAsia="zh-CN"/>
        </w:rPr>
        <w:t>2．</w:t>
      </w:r>
      <w:r>
        <w:rPr>
          <w:rFonts w:ascii="Times New Roman" w:hAnsi="Times New Roman" w:eastAsia="方正仿宋简体" w:cs="方正仿宋简体"/>
          <w:sz w:val="32"/>
          <w:szCs w:val="32"/>
          <w:lang w:val="en-US"/>
        </w:rPr>
        <w:t>支柱产业：涵盖高原特色畜牧业、清洁能源、生态文旅</w:t>
      </w:r>
      <w:r>
        <w:rPr>
          <w:rFonts w:hint="eastAsia" w:ascii="Times New Roman" w:hAnsi="Times New Roman" w:eastAsia="方正仿宋简体" w:cs="方正仿宋简体"/>
          <w:sz w:val="32"/>
          <w:szCs w:val="32"/>
          <w:lang w:val="en-US"/>
        </w:rPr>
        <w:t>三</w:t>
      </w:r>
      <w:r>
        <w:rPr>
          <w:rFonts w:ascii="Times New Roman" w:hAnsi="Times New Roman" w:eastAsia="方正仿宋简体" w:cs="方正仿宋简体"/>
          <w:sz w:val="32"/>
          <w:szCs w:val="32"/>
          <w:lang w:val="en-US"/>
        </w:rPr>
        <w:t>大板块，其中高原特色畜牧业兼具基础</w:t>
      </w:r>
      <w:r>
        <w:rPr>
          <w:rFonts w:hint="eastAsia" w:ascii="Times New Roman" w:hAnsi="Times New Roman" w:eastAsia="方正仿宋简体" w:cs="方正仿宋简体"/>
          <w:sz w:val="32"/>
          <w:szCs w:val="32"/>
          <w:lang w:val="en-US" w:eastAsia="zh-CN"/>
        </w:rPr>
        <w:t>产业和</w:t>
      </w:r>
      <w:r>
        <w:rPr>
          <w:rFonts w:ascii="Times New Roman" w:hAnsi="Times New Roman" w:eastAsia="方正仿宋简体" w:cs="方正仿宋简体"/>
          <w:sz w:val="32"/>
          <w:szCs w:val="32"/>
          <w:lang w:val="en-US"/>
        </w:rPr>
        <w:t>支柱</w:t>
      </w:r>
      <w:r>
        <w:rPr>
          <w:rFonts w:hint="eastAsia" w:ascii="Times New Roman" w:hAnsi="Times New Roman" w:eastAsia="方正仿宋简体" w:cs="方正仿宋简体"/>
          <w:sz w:val="32"/>
          <w:szCs w:val="32"/>
          <w:lang w:val="en-US" w:eastAsia="zh-CN"/>
        </w:rPr>
        <w:t>产业</w:t>
      </w:r>
      <w:r>
        <w:rPr>
          <w:rFonts w:ascii="Times New Roman" w:hAnsi="Times New Roman" w:eastAsia="方正仿宋简体" w:cs="方正仿宋简体"/>
          <w:sz w:val="32"/>
          <w:szCs w:val="32"/>
          <w:lang w:val="en-US"/>
        </w:rPr>
        <w:t>双重属性。统筹风光水储一体化项目建设，打造多能互补基地；深挖</w:t>
      </w:r>
      <w:r>
        <w:rPr>
          <w:rFonts w:hint="eastAsia" w:ascii="Times New Roman" w:hAnsi="Times New Roman" w:eastAsia="方正仿宋简体" w:cs="方正仿宋简体"/>
          <w:sz w:val="32"/>
          <w:szCs w:val="32"/>
          <w:lang w:val="en-US"/>
        </w:rPr>
        <w:t>羌塘</w:t>
      </w:r>
      <w:r>
        <w:rPr>
          <w:rFonts w:ascii="Times New Roman" w:hAnsi="Times New Roman" w:eastAsia="方正仿宋简体" w:cs="方正仿宋简体"/>
          <w:sz w:val="32"/>
          <w:szCs w:val="32"/>
          <w:lang w:val="en-US"/>
        </w:rPr>
        <w:t>象雄、格萨尔文化资源，发展草原观光、民俗研学、乡村民宿、国道驿站等文旅业态；规范道地药材GAP种植，推进藏药标准化制剂与康养产品研发。</w:t>
      </w:r>
    </w:p>
    <w:p w14:paraId="45BC52F4">
      <w:pPr>
        <w:pStyle w:val="8"/>
        <w:topLinePunct/>
        <w:autoSpaceDE/>
        <w:autoSpaceDN/>
        <w:spacing w:before="0" w:line="576" w:lineRule="exact"/>
        <w:ind w:left="0" w:firstLine="640" w:firstLineChars="200"/>
        <w:jc w:val="both"/>
        <w:rPr>
          <w:rFonts w:ascii="Times New Roman" w:hAnsi="Times New Roman" w:eastAsia="方正仿宋简体" w:cs="方正仿宋简体"/>
          <w:sz w:val="32"/>
          <w:szCs w:val="32"/>
          <w:lang w:val="en-US"/>
        </w:rPr>
      </w:pPr>
      <w:r>
        <w:rPr>
          <w:rFonts w:hint="eastAsia" w:ascii="Times New Roman" w:hAnsi="Times New Roman" w:eastAsia="方正仿宋简体" w:cs="方正仿宋简体"/>
          <w:sz w:val="32"/>
          <w:szCs w:val="32"/>
          <w:lang w:val="en-US" w:eastAsia="zh-CN"/>
        </w:rPr>
        <w:t>3．</w:t>
      </w:r>
      <w:r>
        <w:rPr>
          <w:rFonts w:ascii="Times New Roman" w:hAnsi="Times New Roman" w:eastAsia="方正仿宋简体" w:cs="方正仿宋简体"/>
          <w:sz w:val="32"/>
          <w:szCs w:val="32"/>
          <w:lang w:val="en-US"/>
        </w:rPr>
        <w:t>潜力产业：依托稀缺资源布局天然饮用水、绿色矿业</w:t>
      </w:r>
      <w:r>
        <w:rPr>
          <w:rFonts w:hint="eastAsia" w:ascii="Times New Roman" w:hAnsi="Times New Roman" w:eastAsia="方正仿宋简体" w:cs="方正仿宋简体"/>
          <w:sz w:val="32"/>
          <w:szCs w:val="32"/>
          <w:lang w:val="en-US"/>
        </w:rPr>
        <w:t>、卤虫卵产业三</w:t>
      </w:r>
      <w:r>
        <w:rPr>
          <w:rFonts w:ascii="Times New Roman" w:hAnsi="Times New Roman" w:eastAsia="方正仿宋简体" w:cs="方正仿宋简体"/>
          <w:sz w:val="32"/>
          <w:szCs w:val="32"/>
          <w:lang w:val="en-US"/>
        </w:rPr>
        <w:t>大高附加值赛道，坚持生态优先、适度有序开发。</w:t>
      </w:r>
    </w:p>
    <w:p w14:paraId="64C73AD9">
      <w:pPr>
        <w:pStyle w:val="8"/>
        <w:topLinePunct/>
        <w:autoSpaceDE/>
        <w:autoSpaceDN/>
        <w:spacing w:before="0" w:line="576" w:lineRule="exact"/>
        <w:ind w:left="0" w:firstLine="640" w:firstLineChars="200"/>
        <w:jc w:val="both"/>
        <w:rPr>
          <w:rFonts w:ascii="Times New Roman" w:hAnsi="Times New Roman" w:eastAsia="方正仿宋简体" w:cs="方正仿宋简体"/>
          <w:sz w:val="32"/>
          <w:szCs w:val="32"/>
          <w:lang w:val="en-US" w:eastAsia="zh-CN"/>
        </w:rPr>
      </w:pPr>
      <w:r>
        <w:rPr>
          <w:rFonts w:hint="eastAsia" w:ascii="Times New Roman" w:hAnsi="Times New Roman" w:eastAsia="方正仿宋简体" w:cs="方正仿宋简体"/>
          <w:sz w:val="32"/>
          <w:szCs w:val="32"/>
          <w:lang w:val="en-US" w:eastAsia="zh-CN"/>
        </w:rPr>
        <w:t>4．</w:t>
      </w:r>
      <w:r>
        <w:rPr>
          <w:rFonts w:ascii="Times New Roman" w:hAnsi="Times New Roman" w:eastAsia="方正仿宋简体" w:cs="方正仿宋简体"/>
          <w:sz w:val="32"/>
          <w:szCs w:val="32"/>
          <w:lang w:val="en-US"/>
        </w:rPr>
        <w:t>新兴战略产业：面向长远</w:t>
      </w:r>
      <w:r>
        <w:rPr>
          <w:rFonts w:hint="eastAsia" w:ascii="Times New Roman" w:hAnsi="Times New Roman" w:eastAsia="方正仿宋简体" w:cs="方正仿宋简体"/>
          <w:sz w:val="32"/>
          <w:szCs w:val="32"/>
          <w:lang w:val="en-US"/>
        </w:rPr>
        <w:t>，</w:t>
      </w:r>
      <w:r>
        <w:rPr>
          <w:rFonts w:ascii="Times New Roman" w:hAnsi="Times New Roman" w:eastAsia="方正仿宋简体" w:cs="方正仿宋简体"/>
          <w:sz w:val="32"/>
          <w:szCs w:val="32"/>
          <w:lang w:val="en-US"/>
        </w:rPr>
        <w:t>布局</w:t>
      </w:r>
      <w:r>
        <w:rPr>
          <w:rFonts w:hint="eastAsia" w:ascii="Times New Roman" w:hAnsi="Times New Roman" w:eastAsia="方正仿宋简体" w:cs="方正仿宋简体"/>
          <w:sz w:val="32"/>
          <w:szCs w:val="32"/>
          <w:lang w:val="en-US"/>
        </w:rPr>
        <w:t>低空经济、算力经济、现代物流三大</w:t>
      </w:r>
      <w:r>
        <w:rPr>
          <w:rFonts w:ascii="Times New Roman" w:hAnsi="Times New Roman" w:eastAsia="方正仿宋简体" w:cs="方正仿宋简体"/>
          <w:sz w:val="32"/>
          <w:szCs w:val="32"/>
          <w:lang w:val="en-US"/>
        </w:rPr>
        <w:t>前沿业态。</w:t>
      </w:r>
      <w:r>
        <w:rPr>
          <w:rFonts w:ascii="Times New Roman" w:hAnsi="Times New Roman" w:eastAsia="方正仿宋简体" w:cs="方正仿宋简体"/>
          <w:sz w:val="32"/>
          <w:szCs w:val="32"/>
          <w:lang w:val="en-US" w:eastAsia="zh-CN"/>
        </w:rPr>
        <w:t>低空经济聚焦高原应急救援</w:t>
      </w:r>
      <w:r>
        <w:rPr>
          <w:rFonts w:ascii="Times New Roman" w:hAnsi="Times New Roman" w:eastAsia="方正仿宋简体" w:cs="方正仿宋简体"/>
          <w:sz w:val="32"/>
          <w:szCs w:val="32"/>
          <w:lang w:val="en-US"/>
        </w:rPr>
        <w:t>、低空旅游、牧区巡检试点；算力经济依托充沛绿电与天然冷源，承接</w:t>
      </w:r>
      <w:r>
        <w:rPr>
          <w:rFonts w:hint="eastAsia" w:ascii="Times New Roman" w:hAnsi="Times New Roman" w:eastAsia="方正仿宋简体" w:cs="方正仿宋简体"/>
          <w:sz w:val="32"/>
          <w:szCs w:val="32"/>
          <w:lang w:val="en-US" w:eastAsia="zh-CN"/>
        </w:rPr>
        <w:t>“</w:t>
      </w:r>
      <w:r>
        <w:rPr>
          <w:rFonts w:ascii="Times New Roman" w:hAnsi="Times New Roman" w:eastAsia="方正仿宋简体" w:cs="方正仿宋简体"/>
          <w:sz w:val="32"/>
          <w:szCs w:val="32"/>
          <w:lang w:val="en-US"/>
        </w:rPr>
        <w:t>东数西算</w:t>
      </w:r>
      <w:r>
        <w:rPr>
          <w:rFonts w:hint="eastAsia" w:ascii="Times New Roman" w:hAnsi="Times New Roman" w:eastAsia="方正仿宋简体" w:cs="方正仿宋简体"/>
          <w:sz w:val="32"/>
          <w:szCs w:val="32"/>
          <w:lang w:val="en-US" w:eastAsia="zh-CN"/>
        </w:rPr>
        <w:t>”</w:t>
      </w:r>
      <w:r>
        <w:rPr>
          <w:rFonts w:ascii="Times New Roman" w:hAnsi="Times New Roman" w:eastAsia="方正仿宋简体" w:cs="方正仿宋简体"/>
          <w:sz w:val="32"/>
          <w:szCs w:val="32"/>
          <w:lang w:val="en-US"/>
        </w:rPr>
        <w:t>边缘存储、本地生态遥感、智慧牧场算力需求；现代物流聚焦公铁多式联运，补齐冷链设施短板，</w:t>
      </w:r>
      <w:r>
        <w:rPr>
          <w:rFonts w:ascii="Times New Roman" w:hAnsi="Times New Roman" w:eastAsia="方正仿宋简体" w:cs="方正仿宋简体"/>
          <w:sz w:val="32"/>
          <w:szCs w:val="32"/>
          <w:lang w:val="en-US" w:eastAsia="zh-CN"/>
        </w:rPr>
        <w:t>打造藏北跨区域特色农产品集散枢纽。</w:t>
      </w:r>
    </w:p>
    <w:p w14:paraId="4A29795D">
      <w:pPr>
        <w:pStyle w:val="8"/>
        <w:topLinePunct/>
        <w:autoSpaceDE/>
        <w:autoSpaceDN/>
        <w:spacing w:before="0" w:line="576" w:lineRule="exact"/>
        <w:ind w:left="0" w:firstLine="640" w:firstLineChars="200"/>
        <w:jc w:val="both"/>
        <w:outlineLvl w:val="1"/>
        <w:rPr>
          <w:rFonts w:ascii="Times New Roman" w:hAnsi="Times New Roman" w:eastAsia="方正楷体简体" w:cs="方正仿宋简体"/>
          <w:sz w:val="32"/>
          <w:szCs w:val="32"/>
          <w:lang w:val="en-US" w:eastAsia="zh-CN"/>
        </w:rPr>
      </w:pPr>
      <w:bookmarkStart w:id="64" w:name="_Toc243241411"/>
      <w:r>
        <w:rPr>
          <w:rFonts w:ascii="Times New Roman" w:hAnsi="Times New Roman" w:eastAsia="方正楷体简体" w:cs="方正仿宋简体"/>
          <w:sz w:val="32"/>
          <w:szCs w:val="32"/>
          <w:lang w:val="en-US" w:eastAsia="zh-CN"/>
        </w:rPr>
        <w:t>（三）工作内容维度</w:t>
      </w:r>
      <w:bookmarkEnd w:id="64"/>
    </w:p>
    <w:p w14:paraId="3421B928">
      <w:pPr>
        <w:pStyle w:val="8"/>
        <w:topLinePunct/>
        <w:autoSpaceDE/>
        <w:autoSpaceDN/>
        <w:spacing w:before="0" w:line="576" w:lineRule="exact"/>
        <w:ind w:left="0" w:firstLine="640" w:firstLineChars="200"/>
        <w:jc w:val="both"/>
        <w:rPr>
          <w:rFonts w:ascii="Times New Roman" w:hAnsi="Times New Roman" w:eastAsia="方正仿宋简体" w:cs="方正仿宋简体"/>
          <w:sz w:val="32"/>
          <w:szCs w:val="32"/>
          <w:lang w:val="en-US"/>
        </w:rPr>
      </w:pPr>
      <w:r>
        <w:rPr>
          <w:rFonts w:ascii="Times New Roman" w:hAnsi="Times New Roman" w:eastAsia="方正仿宋简体" w:cs="方正仿宋简体"/>
          <w:sz w:val="32"/>
          <w:szCs w:val="32"/>
          <w:lang w:val="en-US" w:eastAsia="zh-CN"/>
        </w:rPr>
        <w:t>全流程覆盖产业发展全周期研判事项：</w:t>
      </w:r>
      <w:r>
        <w:rPr>
          <w:rFonts w:ascii="Times New Roman" w:hAnsi="Times New Roman" w:eastAsia="方正仿宋简体" w:cs="方正仿宋简体"/>
          <w:b/>
          <w:bCs/>
          <w:sz w:val="32"/>
          <w:szCs w:val="32"/>
          <w:lang w:val="en-US" w:eastAsia="zh-CN"/>
        </w:rPr>
        <w:t>一是</w:t>
      </w:r>
      <w:r>
        <w:rPr>
          <w:rFonts w:ascii="Times New Roman" w:hAnsi="Times New Roman" w:eastAsia="方正仿宋简体" w:cs="方正仿宋简体"/>
          <w:sz w:val="32"/>
          <w:szCs w:val="32"/>
          <w:lang w:val="en-US" w:eastAsia="zh-CN"/>
        </w:rPr>
        <w:t>全域资源底数摸排，系统梳理草场、能源、药材、文旅资源存量与空间布局；</w:t>
      </w:r>
      <w:r>
        <w:rPr>
          <w:rFonts w:ascii="Times New Roman" w:hAnsi="Times New Roman" w:eastAsia="方正仿宋简体" w:cs="方正仿宋简体"/>
          <w:b/>
          <w:bCs/>
          <w:sz w:val="32"/>
          <w:szCs w:val="32"/>
          <w:lang w:val="en-US" w:eastAsia="zh-CN"/>
        </w:rPr>
        <w:t>二是</w:t>
      </w:r>
      <w:r>
        <w:rPr>
          <w:rFonts w:ascii="Times New Roman" w:hAnsi="Times New Roman" w:eastAsia="方正仿宋简体" w:cs="方正仿宋简体"/>
          <w:sz w:val="32"/>
          <w:szCs w:val="32"/>
          <w:lang w:val="en-US" w:eastAsia="zh-CN"/>
        </w:rPr>
        <w:t>产业现状量化评估，依托发电量、农牧产品产量、文旅营收等核心指标客观研判发展</w:t>
      </w:r>
      <w:r>
        <w:rPr>
          <w:rFonts w:ascii="Times New Roman" w:hAnsi="Times New Roman" w:eastAsia="方正仿宋简体" w:cs="方正仿宋简体"/>
          <w:sz w:val="32"/>
          <w:szCs w:val="32"/>
          <w:lang w:val="en-US"/>
        </w:rPr>
        <w:t>成效；</w:t>
      </w:r>
      <w:r>
        <w:rPr>
          <w:rFonts w:ascii="Times New Roman" w:hAnsi="Times New Roman" w:eastAsia="方正仿宋简体" w:cs="方正仿宋简体"/>
          <w:b/>
          <w:bCs/>
          <w:sz w:val="32"/>
          <w:szCs w:val="32"/>
          <w:lang w:val="en-US"/>
        </w:rPr>
        <w:t>三是</w:t>
      </w:r>
      <w:r>
        <w:rPr>
          <w:rFonts w:ascii="Times New Roman" w:hAnsi="Times New Roman" w:eastAsia="方正仿宋简体" w:cs="方正仿宋简体"/>
          <w:sz w:val="32"/>
          <w:szCs w:val="32"/>
          <w:lang w:val="en-US"/>
        </w:rPr>
        <w:t>全产业链短板剖析，系统研判种养、加工、仓储、流通各环节强弱项；</w:t>
      </w:r>
      <w:r>
        <w:rPr>
          <w:rFonts w:ascii="Times New Roman" w:hAnsi="Times New Roman" w:eastAsia="方正仿宋简体" w:cs="方正仿宋简体"/>
          <w:b/>
          <w:bCs/>
          <w:sz w:val="32"/>
          <w:szCs w:val="32"/>
          <w:lang w:val="en-US"/>
        </w:rPr>
        <w:t>四是</w:t>
      </w:r>
      <w:r>
        <w:rPr>
          <w:rFonts w:ascii="Times New Roman" w:hAnsi="Times New Roman" w:eastAsia="方正仿宋简体" w:cs="方正仿宋简体"/>
          <w:sz w:val="32"/>
          <w:szCs w:val="32"/>
          <w:lang w:val="en-US" w:eastAsia="zh-CN"/>
        </w:rPr>
        <w:t>各</w:t>
      </w:r>
      <w:r>
        <w:rPr>
          <w:rFonts w:ascii="Times New Roman" w:hAnsi="Times New Roman" w:eastAsia="方正仿宋简体" w:cs="方正仿宋简体"/>
          <w:sz w:val="32"/>
          <w:szCs w:val="32"/>
          <w:lang w:val="en-US"/>
        </w:rPr>
        <w:t>级政策适配解读，整合国家、自治区、</w:t>
      </w:r>
      <w:r>
        <w:rPr>
          <w:rFonts w:hint="eastAsia" w:ascii="Times New Roman" w:hAnsi="Times New Roman" w:eastAsia="方正仿宋简体" w:cs="方正仿宋简体"/>
          <w:sz w:val="32"/>
          <w:szCs w:val="32"/>
          <w:lang w:val="en-US" w:eastAsia="zh-CN"/>
        </w:rPr>
        <w:t>那曲</w:t>
      </w:r>
      <w:r>
        <w:rPr>
          <w:rFonts w:ascii="Times New Roman" w:hAnsi="Times New Roman" w:eastAsia="方正仿宋简体" w:cs="方正仿宋简体"/>
          <w:sz w:val="32"/>
          <w:szCs w:val="32"/>
          <w:lang w:val="en-US"/>
        </w:rPr>
        <w:t>市</w:t>
      </w:r>
      <w:r>
        <w:rPr>
          <w:rFonts w:hint="eastAsia" w:ascii="Times New Roman" w:hAnsi="Times New Roman" w:eastAsia="方正仿宋简体" w:cs="方正仿宋简体"/>
          <w:sz w:val="32"/>
          <w:szCs w:val="32"/>
          <w:lang w:val="en-US" w:eastAsia="zh-CN"/>
        </w:rPr>
        <w:t>“</w:t>
      </w:r>
      <w:r>
        <w:rPr>
          <w:rFonts w:ascii="Times New Roman" w:hAnsi="Times New Roman" w:eastAsia="方正仿宋简体" w:cs="方正仿宋简体"/>
          <w:sz w:val="32"/>
          <w:szCs w:val="32"/>
          <w:lang w:val="en-US"/>
        </w:rPr>
        <w:t>十五五</w:t>
      </w:r>
      <w:r>
        <w:rPr>
          <w:rFonts w:hint="eastAsia" w:ascii="Times New Roman" w:hAnsi="Times New Roman" w:eastAsia="方正仿宋简体" w:cs="方正仿宋简体"/>
          <w:sz w:val="32"/>
          <w:szCs w:val="32"/>
          <w:lang w:val="en-US" w:eastAsia="zh-CN"/>
        </w:rPr>
        <w:t>”</w:t>
      </w:r>
      <w:r>
        <w:rPr>
          <w:rFonts w:ascii="Times New Roman" w:hAnsi="Times New Roman" w:eastAsia="方正仿宋简体" w:cs="方正仿宋简体"/>
          <w:sz w:val="32"/>
          <w:szCs w:val="32"/>
          <w:lang w:val="en-US"/>
        </w:rPr>
        <w:t>产业规划及配套扶持政策；</w:t>
      </w:r>
      <w:r>
        <w:rPr>
          <w:rFonts w:ascii="Times New Roman" w:hAnsi="Times New Roman" w:eastAsia="方正仿宋简体" w:cs="方正仿宋简体"/>
          <w:b/>
          <w:bCs/>
          <w:sz w:val="32"/>
          <w:szCs w:val="32"/>
          <w:lang w:val="en-US"/>
        </w:rPr>
        <w:t>五是</w:t>
      </w:r>
      <w:r>
        <w:rPr>
          <w:rFonts w:ascii="Times New Roman" w:hAnsi="Times New Roman" w:eastAsia="方正仿宋简体" w:cs="方正仿宋简体"/>
          <w:sz w:val="32"/>
          <w:szCs w:val="32"/>
          <w:lang w:val="en-US"/>
        </w:rPr>
        <w:t>生态约束综合测算，依据生态红线划定产业开发准入边界；</w:t>
      </w:r>
      <w:r>
        <w:rPr>
          <w:rFonts w:ascii="Times New Roman" w:hAnsi="Times New Roman" w:eastAsia="方正仿宋简体" w:cs="方正仿宋简体"/>
          <w:b/>
          <w:bCs/>
          <w:sz w:val="32"/>
          <w:szCs w:val="32"/>
          <w:lang w:val="en-US"/>
        </w:rPr>
        <w:t>六是</w:t>
      </w:r>
      <w:r>
        <w:rPr>
          <w:rFonts w:ascii="Times New Roman" w:hAnsi="Times New Roman" w:eastAsia="方正仿宋简体" w:cs="方正仿宋简体"/>
          <w:sz w:val="32"/>
          <w:szCs w:val="32"/>
          <w:lang w:val="en-US"/>
        </w:rPr>
        <w:t>利益联结机制分析，梳理各类经营模式增收成效，优化企社牧共建共享机制。</w:t>
      </w:r>
    </w:p>
    <w:p w14:paraId="3DA8D051">
      <w:pPr>
        <w:pStyle w:val="8"/>
        <w:topLinePunct/>
        <w:autoSpaceDE/>
        <w:autoSpaceDN/>
        <w:spacing w:before="0" w:line="576" w:lineRule="exact"/>
        <w:ind w:left="0" w:firstLine="640" w:firstLineChars="200"/>
        <w:jc w:val="both"/>
        <w:rPr>
          <w:rFonts w:ascii="Times New Roman" w:hAnsi="Times New Roman" w:eastAsia="方正仿宋简体" w:cs="方正仿宋简体"/>
          <w:sz w:val="32"/>
          <w:szCs w:val="32"/>
          <w:lang w:eastAsia="zh-CN"/>
        </w:rPr>
        <w:sectPr>
          <w:footerReference r:id="rId5" w:type="default"/>
          <w:pgSz w:w="11906" w:h="16838"/>
          <w:pgMar w:top="2098" w:right="1474" w:bottom="1984" w:left="1587" w:header="851" w:footer="992" w:gutter="0"/>
          <w:pgNumType w:fmt="decimal" w:start="3"/>
          <w:cols w:space="425" w:num="1"/>
          <w:docGrid w:type="lines" w:linePitch="312" w:charSpace="0"/>
        </w:sectPr>
      </w:pPr>
    </w:p>
    <w:p w14:paraId="104C804E">
      <w:pPr>
        <w:pStyle w:val="27"/>
        <w:tabs>
          <w:tab w:val="left" w:pos="1248"/>
        </w:tabs>
        <w:topLinePunct/>
        <w:autoSpaceDE/>
        <w:autoSpaceDN/>
        <w:spacing w:line="576" w:lineRule="exact"/>
        <w:jc w:val="center"/>
        <w:outlineLvl w:val="0"/>
        <w:rPr>
          <w:rFonts w:ascii="Times New Roman" w:hAnsi="Times New Roman" w:eastAsia="方正小标宋简体" w:cs="方正仿宋简体"/>
          <w:b/>
          <w:spacing w:val="-2"/>
          <w:sz w:val="44"/>
          <w:szCs w:val="44"/>
        </w:rPr>
      </w:pPr>
      <w:bookmarkStart w:id="65" w:name="_Toc243241412"/>
      <w:r>
        <w:rPr>
          <w:rFonts w:hint="eastAsia" w:ascii="Times New Roman" w:hAnsi="Times New Roman" w:eastAsia="方正小标宋简体" w:cs="方正仿宋简体"/>
          <w:b/>
          <w:spacing w:val="-2"/>
          <w:sz w:val="44"/>
          <w:szCs w:val="44"/>
        </w:rPr>
        <w:t xml:space="preserve">第二章 </w:t>
      </w:r>
      <w:r>
        <w:rPr>
          <w:rFonts w:hint="eastAsia" w:ascii="Times New Roman" w:hAnsi="Times New Roman" w:eastAsia="方正小标宋简体" w:cs="方正仿宋简体"/>
          <w:b/>
          <w:spacing w:val="-2"/>
          <w:sz w:val="44"/>
          <w:szCs w:val="44"/>
          <w:lang w:val="en-US" w:eastAsia="zh-CN"/>
        </w:rPr>
        <w:t>特色产业的概念界定</w:t>
      </w:r>
      <w:bookmarkEnd w:id="65"/>
    </w:p>
    <w:p w14:paraId="61E2F1BF">
      <w:pPr>
        <w:topLinePunct/>
        <w:autoSpaceDE/>
        <w:autoSpaceDN/>
        <w:spacing w:line="576" w:lineRule="exact"/>
        <w:ind w:firstLine="640" w:firstLineChars="200"/>
        <w:jc w:val="both"/>
        <w:rPr>
          <w:rFonts w:ascii="Times New Roman" w:hAnsi="Times New Roman" w:eastAsia="方正仿宋简体" w:cs="方正仿宋简体"/>
          <w:bCs/>
          <w:sz w:val="32"/>
          <w:szCs w:val="32"/>
          <w:lang w:eastAsia="zh-CN"/>
        </w:rPr>
      </w:pPr>
    </w:p>
    <w:p w14:paraId="5A611C2E">
      <w:pPr>
        <w:topLinePunct/>
        <w:autoSpaceDE/>
        <w:autoSpaceDN/>
        <w:spacing w:line="576" w:lineRule="exact"/>
        <w:ind w:firstLine="640" w:firstLineChars="200"/>
        <w:jc w:val="both"/>
        <w:rPr>
          <w:rFonts w:hint="default" w:ascii="Times New Roman" w:hAnsi="Times New Roman" w:eastAsia="方正仿宋简体" w:cs="Times New Roman"/>
          <w:bCs/>
          <w:sz w:val="32"/>
          <w:szCs w:val="32"/>
          <w:lang w:eastAsia="zh-CN"/>
        </w:rPr>
      </w:pPr>
      <w:r>
        <w:rPr>
          <w:rFonts w:hint="default" w:ascii="Times New Roman" w:hAnsi="Times New Roman" w:eastAsia="方正仿宋简体" w:cs="Times New Roman"/>
          <w:bCs/>
          <w:sz w:val="32"/>
          <w:szCs w:val="32"/>
          <w:lang w:eastAsia="zh-CN"/>
        </w:rPr>
        <w:t>从产业发展一般规律研判，界定区域特色产业，核心围绕资源独特性、发展价值性两大维度综合评估。特色产业必须根植辖区特有地理禀赋、种质资源、历史文脉、专属生产技艺，形成难以跨区域复制的差异化竞争优势，能够持续释放经济、社会、生态、文化多元综合效益，其底层支撑集中体现为特定地域专属资源、特色原生原料两大根基。立足羌塘高原资源禀赋、游牧文化传统与极高海拔发展客观条件，那曲市特色产业推动传统发展模式与现代化生产经营有机融合。为明晰那曲特色产业分类边界、精准把握产业核心特质，现将全市重点特色产业类型及发展特征梳理如下：</w:t>
      </w:r>
    </w:p>
    <w:p w14:paraId="5A82EAD9">
      <w:pPr>
        <w:overflowPunct w:val="0"/>
        <w:spacing w:line="576" w:lineRule="exact"/>
        <w:ind w:firstLine="643" w:firstLineChars="200"/>
        <w:jc w:val="center"/>
        <w:rPr>
          <w:rFonts w:ascii="Times New Roman" w:hAnsi="Times New Roman" w:eastAsia="方正仿宋简体" w:cs="方正仿宋简体"/>
          <w:b/>
          <w:sz w:val="32"/>
          <w:szCs w:val="32"/>
          <w:lang w:eastAsia="zh-CN"/>
        </w:rPr>
      </w:pPr>
      <w:r>
        <w:rPr>
          <w:rFonts w:ascii="Times New Roman" w:hAnsi="Times New Roman" w:eastAsia="方正仿宋简体" w:cs="方正仿宋简体"/>
          <w:b/>
          <w:sz w:val="32"/>
          <w:szCs w:val="32"/>
          <w:lang w:eastAsia="zh-CN"/>
        </w:rPr>
        <w:t>那曲市特色产业类型及核心特征一览表</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9"/>
        <w:gridCol w:w="2546"/>
        <w:gridCol w:w="4450"/>
      </w:tblGrid>
      <w:tr w14:paraId="1C3AC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tblHeader/>
        </w:trPr>
        <w:tc>
          <w:tcPr>
            <w:tcW w:w="1839" w:type="dxa"/>
            <w:vAlign w:val="center"/>
          </w:tcPr>
          <w:p w14:paraId="6B787460">
            <w:pPr>
              <w:widowControl/>
              <w:spacing w:line="352" w:lineRule="exact"/>
              <w:jc w:val="center"/>
              <w:rPr>
                <w:rFonts w:hint="eastAsia" w:ascii="Times New Roman" w:hAnsi="Times New Roman" w:eastAsia="方正仿宋简体" w:cs="方正仿宋简体"/>
                <w:b/>
                <w:sz w:val="28"/>
                <w:szCs w:val="28"/>
                <w:lang w:eastAsia="zh-CN"/>
              </w:rPr>
            </w:pPr>
            <w:r>
              <w:rPr>
                <w:rFonts w:hint="eastAsia" w:ascii="Times New Roman" w:hAnsi="Times New Roman" w:eastAsia="方正仿宋简体" w:cs="方正仿宋简体"/>
                <w:b/>
                <w:sz w:val="28"/>
                <w:szCs w:val="28"/>
                <w:lang w:eastAsia="zh-CN"/>
              </w:rPr>
              <w:t>产业大类</w:t>
            </w:r>
          </w:p>
        </w:tc>
        <w:tc>
          <w:tcPr>
            <w:tcW w:w="2546" w:type="dxa"/>
            <w:vAlign w:val="center"/>
          </w:tcPr>
          <w:p w14:paraId="07157626">
            <w:pPr>
              <w:widowControl/>
              <w:spacing w:line="352" w:lineRule="exact"/>
              <w:jc w:val="center"/>
              <w:rPr>
                <w:rFonts w:hint="eastAsia" w:ascii="Times New Roman" w:hAnsi="Times New Roman" w:eastAsia="方正仿宋简体" w:cs="方正仿宋简体"/>
                <w:b/>
                <w:sz w:val="28"/>
                <w:szCs w:val="28"/>
                <w:lang w:eastAsia="zh-CN"/>
              </w:rPr>
            </w:pPr>
            <w:r>
              <w:rPr>
                <w:rFonts w:hint="eastAsia" w:ascii="Times New Roman" w:hAnsi="Times New Roman" w:eastAsia="方正仿宋简体" w:cs="方正仿宋简体"/>
                <w:b/>
                <w:sz w:val="28"/>
                <w:szCs w:val="28"/>
                <w:lang w:eastAsia="zh-CN"/>
              </w:rPr>
              <w:t>细分业态举例</w:t>
            </w:r>
          </w:p>
        </w:tc>
        <w:tc>
          <w:tcPr>
            <w:tcW w:w="4450" w:type="dxa"/>
            <w:vAlign w:val="center"/>
          </w:tcPr>
          <w:p w14:paraId="5D62393D">
            <w:pPr>
              <w:widowControl/>
              <w:spacing w:line="352" w:lineRule="exact"/>
              <w:jc w:val="center"/>
              <w:rPr>
                <w:rFonts w:hint="eastAsia" w:ascii="Times New Roman" w:hAnsi="Times New Roman" w:eastAsia="方正仿宋简体" w:cs="方正仿宋简体"/>
                <w:b/>
                <w:sz w:val="28"/>
                <w:szCs w:val="28"/>
              </w:rPr>
            </w:pPr>
            <w:r>
              <w:rPr>
                <w:rFonts w:hint="eastAsia" w:ascii="Times New Roman" w:hAnsi="Times New Roman" w:eastAsia="方正仿宋简体" w:cs="方正仿宋简体"/>
                <w:b/>
                <w:sz w:val="28"/>
                <w:szCs w:val="28"/>
              </w:rPr>
              <w:t>核心发展特质</w:t>
            </w:r>
          </w:p>
        </w:tc>
      </w:tr>
      <w:tr w14:paraId="08A18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5" w:hRule="atLeast"/>
        </w:trPr>
        <w:tc>
          <w:tcPr>
            <w:tcW w:w="1839" w:type="dxa"/>
            <w:vAlign w:val="center"/>
          </w:tcPr>
          <w:p w14:paraId="15841B0F">
            <w:pPr>
              <w:widowControl/>
              <w:spacing w:line="270" w:lineRule="exact"/>
              <w:jc w:val="both"/>
              <w:rPr>
                <w:rFonts w:hint="eastAsia" w:ascii="Times New Roman" w:hAnsi="Times New Roman" w:eastAsia="方正仿宋简体" w:cs="方正仿宋简体"/>
                <w:bCs/>
                <w:sz w:val="24"/>
                <w:szCs w:val="24"/>
                <w:lang w:eastAsia="zh-CN"/>
              </w:rPr>
            </w:pPr>
            <w:bookmarkStart w:id="66" w:name="OLE_LINK122"/>
            <w:r>
              <w:rPr>
                <w:rFonts w:hint="eastAsia" w:ascii="Times New Roman" w:hAnsi="Times New Roman" w:eastAsia="方正仿宋简体" w:cs="方正仿宋简体"/>
                <w:bCs/>
                <w:sz w:val="24"/>
                <w:szCs w:val="24"/>
                <w:lang w:eastAsia="zh-CN"/>
              </w:rPr>
              <w:t>高原特色畜牧业</w:t>
            </w:r>
            <w:bookmarkEnd w:id="66"/>
          </w:p>
        </w:tc>
        <w:tc>
          <w:tcPr>
            <w:tcW w:w="2546" w:type="dxa"/>
            <w:vAlign w:val="center"/>
          </w:tcPr>
          <w:p w14:paraId="080ED0D7">
            <w:pPr>
              <w:widowControl/>
              <w:spacing w:line="270" w:lineRule="exact"/>
              <w:jc w:val="both"/>
              <w:rPr>
                <w:rFonts w:hint="eastAsia" w:ascii="Times New Roman" w:hAnsi="Times New Roman" w:eastAsia="方正仿宋简体" w:cs="方正仿宋简体"/>
                <w:bCs/>
                <w:sz w:val="24"/>
                <w:szCs w:val="24"/>
                <w:lang w:eastAsia="zh-CN"/>
              </w:rPr>
            </w:pPr>
            <w:r>
              <w:rPr>
                <w:rFonts w:hint="eastAsia" w:ascii="Times New Roman" w:hAnsi="Times New Roman" w:eastAsia="方正仿宋简体" w:cs="方正仿宋简体"/>
                <w:bCs/>
                <w:sz w:val="24"/>
                <w:szCs w:val="24"/>
                <w:lang w:eastAsia="zh-CN"/>
              </w:rPr>
              <w:t>娘亚牦牛、多玛绵羊、白绒山羊标准化生态养殖；嘎尔德乳制品、聂荣嘎确“拉拉”奶酪、生鲜牛羊肉精深加工等</w:t>
            </w:r>
          </w:p>
        </w:tc>
        <w:tc>
          <w:tcPr>
            <w:tcW w:w="4450" w:type="dxa"/>
            <w:vAlign w:val="center"/>
          </w:tcPr>
          <w:p w14:paraId="3B6E7909">
            <w:pPr>
              <w:widowControl/>
              <w:spacing w:line="270" w:lineRule="exact"/>
              <w:jc w:val="both"/>
              <w:rPr>
                <w:rFonts w:hint="eastAsia" w:ascii="Times New Roman" w:hAnsi="Times New Roman" w:eastAsia="方正仿宋简体" w:cs="方正仿宋简体"/>
                <w:bCs/>
                <w:sz w:val="24"/>
                <w:szCs w:val="24"/>
                <w:lang w:val="en-US" w:eastAsia="zh-CN"/>
              </w:rPr>
            </w:pPr>
            <w:r>
              <w:rPr>
                <w:rFonts w:hint="eastAsia" w:ascii="Times New Roman" w:hAnsi="Times New Roman" w:eastAsia="方正仿宋简体" w:cs="方正仿宋简体"/>
                <w:b/>
                <w:sz w:val="24"/>
                <w:szCs w:val="24"/>
                <w:lang w:val="en-US" w:eastAsia="zh-CN"/>
              </w:rPr>
              <w:t>资源禀赋独特：依托</w:t>
            </w:r>
            <w:r>
              <w:rPr>
                <w:rFonts w:hint="eastAsia" w:ascii="Times New Roman" w:hAnsi="Times New Roman" w:eastAsia="方正仿宋简体" w:cs="方正仿宋简体"/>
                <w:bCs/>
                <w:sz w:val="24"/>
                <w:szCs w:val="24"/>
                <w:lang w:eastAsia="zh-CN"/>
              </w:rPr>
              <w:t>海拔4500米以上原生态洁净高寒草场，本土优良畜禽种质资源稀缺，肉奶产品营养品质优势显著；</w:t>
            </w:r>
          </w:p>
          <w:p w14:paraId="18261933">
            <w:pPr>
              <w:widowControl/>
              <w:spacing w:line="270" w:lineRule="exact"/>
              <w:jc w:val="both"/>
              <w:rPr>
                <w:rFonts w:hint="eastAsia" w:ascii="Times New Roman" w:hAnsi="Times New Roman" w:eastAsia="方正仿宋简体" w:cs="方正仿宋简体"/>
                <w:bCs/>
                <w:sz w:val="24"/>
                <w:szCs w:val="24"/>
                <w:lang w:eastAsia="zh-CN"/>
              </w:rPr>
            </w:pPr>
            <w:r>
              <w:rPr>
                <w:rFonts w:hint="eastAsia" w:ascii="Times New Roman" w:hAnsi="Times New Roman" w:eastAsia="方正仿宋简体" w:cs="方正仿宋简体"/>
                <w:b/>
                <w:sz w:val="24"/>
                <w:szCs w:val="24"/>
                <w:lang w:val="en-US" w:eastAsia="zh-CN"/>
              </w:rPr>
              <w:t>经营模式创新：</w:t>
            </w:r>
            <w:r>
              <w:rPr>
                <w:rFonts w:hint="eastAsia" w:ascii="Times New Roman" w:hAnsi="Times New Roman" w:eastAsia="方正仿宋简体" w:cs="方正仿宋简体"/>
                <w:bCs/>
                <w:sz w:val="24"/>
                <w:szCs w:val="24"/>
                <w:lang w:eastAsia="zh-CN"/>
              </w:rPr>
              <w:t>推动传统游牧养殖方式对接现代加工标准，</w:t>
            </w:r>
            <w:bookmarkStart w:id="67" w:name="OLE_LINK123"/>
            <w:r>
              <w:rPr>
                <w:rFonts w:hint="eastAsia" w:ascii="Times New Roman" w:hAnsi="Times New Roman" w:eastAsia="方正仿宋简体" w:cs="方正仿宋简体"/>
                <w:bCs/>
                <w:sz w:val="24"/>
                <w:szCs w:val="24"/>
                <w:lang w:eastAsia="zh-CN"/>
              </w:rPr>
              <w:t>构建“龙头企业+合作社+家庭牧场+牧户”紧密型利益联结机制</w:t>
            </w:r>
            <w:bookmarkEnd w:id="67"/>
            <w:r>
              <w:rPr>
                <w:rFonts w:hint="eastAsia" w:ascii="Times New Roman" w:hAnsi="Times New Roman" w:eastAsia="方正仿宋简体" w:cs="方正仿宋简体"/>
                <w:bCs/>
                <w:sz w:val="24"/>
                <w:szCs w:val="24"/>
                <w:lang w:eastAsia="zh-CN"/>
              </w:rPr>
              <w:t>，形成“龙头统筹、合作社中转、家庭牧场标准化示范、普通牧户基础生产”四级梯次主体架构。</w:t>
            </w:r>
          </w:p>
        </w:tc>
      </w:tr>
      <w:tr w14:paraId="018E5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0" w:hRule="atLeast"/>
        </w:trPr>
        <w:tc>
          <w:tcPr>
            <w:tcW w:w="1839" w:type="dxa"/>
            <w:vAlign w:val="center"/>
          </w:tcPr>
          <w:p w14:paraId="378E669E">
            <w:pPr>
              <w:widowControl/>
              <w:spacing w:line="270" w:lineRule="exact"/>
              <w:jc w:val="both"/>
              <w:rPr>
                <w:rFonts w:hint="eastAsia" w:ascii="Times New Roman" w:hAnsi="Times New Roman" w:eastAsia="方正仿宋简体" w:cs="方正仿宋简体"/>
                <w:bCs/>
                <w:sz w:val="24"/>
                <w:szCs w:val="24"/>
                <w:lang w:eastAsia="zh-CN"/>
              </w:rPr>
            </w:pPr>
            <w:bookmarkStart w:id="68" w:name="OLE_LINK124"/>
            <w:r>
              <w:rPr>
                <w:rFonts w:hint="eastAsia" w:ascii="Times New Roman" w:hAnsi="Times New Roman" w:eastAsia="方正仿宋简体" w:cs="方正仿宋简体"/>
                <w:bCs/>
                <w:sz w:val="24"/>
                <w:szCs w:val="24"/>
                <w:lang w:eastAsia="zh-CN"/>
              </w:rPr>
              <w:t>民族手工业</w:t>
            </w:r>
            <w:bookmarkEnd w:id="68"/>
          </w:p>
        </w:tc>
        <w:tc>
          <w:tcPr>
            <w:tcW w:w="2546" w:type="dxa"/>
            <w:vAlign w:val="center"/>
          </w:tcPr>
          <w:p w14:paraId="6D038BCB">
            <w:pPr>
              <w:widowControl/>
              <w:spacing w:line="270" w:lineRule="exact"/>
              <w:jc w:val="both"/>
              <w:rPr>
                <w:rFonts w:hint="eastAsia" w:ascii="Times New Roman" w:hAnsi="Times New Roman" w:eastAsia="方正仿宋简体" w:cs="方正仿宋简体"/>
                <w:bCs/>
                <w:sz w:val="24"/>
                <w:szCs w:val="24"/>
                <w:lang w:eastAsia="zh-CN"/>
              </w:rPr>
            </w:pPr>
            <w:r>
              <w:rPr>
                <w:rFonts w:hint="eastAsia" w:ascii="Times New Roman" w:hAnsi="Times New Roman" w:eastAsia="方正仿宋简体" w:cs="方正仿宋简体"/>
                <w:bCs/>
                <w:sz w:val="24"/>
                <w:szCs w:val="24"/>
                <w:lang w:eastAsia="zh-CN"/>
              </w:rPr>
              <w:t>安达护肤制品、勉唐派唐卡、索如藏香、牦牛绒文创产品等</w:t>
            </w:r>
          </w:p>
        </w:tc>
        <w:tc>
          <w:tcPr>
            <w:tcW w:w="4450" w:type="dxa"/>
            <w:vAlign w:val="center"/>
          </w:tcPr>
          <w:p w14:paraId="3C16E721">
            <w:pPr>
              <w:widowControl/>
              <w:spacing w:line="270" w:lineRule="exact"/>
              <w:jc w:val="both"/>
              <w:rPr>
                <w:rFonts w:hint="eastAsia" w:ascii="Times New Roman" w:hAnsi="Times New Roman" w:eastAsia="方正仿宋简体" w:cs="方正仿宋简体"/>
                <w:bCs/>
                <w:sz w:val="24"/>
                <w:szCs w:val="24"/>
                <w:lang w:eastAsia="zh-CN"/>
              </w:rPr>
            </w:pPr>
            <w:r>
              <w:rPr>
                <w:rFonts w:hint="eastAsia" w:ascii="Times New Roman" w:hAnsi="Times New Roman" w:eastAsia="方正仿宋简体" w:cs="方正仿宋简体"/>
                <w:b/>
                <w:sz w:val="24"/>
                <w:szCs w:val="24"/>
                <w:lang w:val="en-US" w:eastAsia="zh-CN"/>
              </w:rPr>
              <w:t>文化禀赋独有：</w:t>
            </w:r>
            <w:r>
              <w:rPr>
                <w:rFonts w:hint="eastAsia" w:ascii="Times New Roman" w:hAnsi="Times New Roman" w:eastAsia="方正仿宋简体" w:cs="方正仿宋简体"/>
                <w:bCs/>
                <w:sz w:val="24"/>
                <w:szCs w:val="24"/>
                <w:lang w:eastAsia="zh-CN"/>
              </w:rPr>
              <w:t>依托市、县级非物质文化遗产传统技艺活态传承；</w:t>
            </w:r>
          </w:p>
          <w:p w14:paraId="55ADA48B">
            <w:pPr>
              <w:widowControl/>
              <w:spacing w:line="270" w:lineRule="exact"/>
              <w:jc w:val="both"/>
              <w:rPr>
                <w:rFonts w:hint="eastAsia" w:ascii="Times New Roman" w:hAnsi="Times New Roman" w:eastAsia="方正仿宋简体" w:cs="方正仿宋简体"/>
                <w:bCs/>
                <w:sz w:val="24"/>
                <w:szCs w:val="24"/>
                <w:lang w:eastAsia="zh-CN"/>
              </w:rPr>
            </w:pPr>
            <w:r>
              <w:rPr>
                <w:rFonts w:hint="eastAsia" w:ascii="Times New Roman" w:hAnsi="Times New Roman" w:eastAsia="方正仿宋简体" w:cs="方正仿宋简体"/>
                <w:b/>
                <w:sz w:val="24"/>
                <w:szCs w:val="24"/>
                <w:lang w:val="en-US" w:eastAsia="zh-CN"/>
              </w:rPr>
              <w:t>产业融合创新：</w:t>
            </w:r>
            <w:r>
              <w:rPr>
                <w:rFonts w:hint="eastAsia" w:ascii="Times New Roman" w:hAnsi="Times New Roman" w:eastAsia="方正仿宋简体" w:cs="方正仿宋简体"/>
                <w:bCs/>
                <w:sz w:val="24"/>
                <w:szCs w:val="24"/>
                <w:lang w:eastAsia="zh-CN"/>
              </w:rPr>
              <w:t>推动传统工艺适配现代消费需求，打通线上线下市场渠道，实现优秀传统文化创造性转化、创新性发展，构建“</w:t>
            </w:r>
            <w:bookmarkStart w:id="69" w:name="OLE_LINK127"/>
            <w:r>
              <w:rPr>
                <w:rFonts w:hint="eastAsia" w:ascii="Times New Roman" w:hAnsi="Times New Roman" w:eastAsia="方正仿宋简体" w:cs="方正仿宋简体"/>
                <w:bCs/>
                <w:sz w:val="24"/>
                <w:szCs w:val="24"/>
                <w:lang w:eastAsia="zh-CN"/>
              </w:rPr>
              <w:t>龙头企业+手工艺专业合作社+非遗家庭作坊</w:t>
            </w:r>
            <w:bookmarkEnd w:id="69"/>
            <w:r>
              <w:rPr>
                <w:rFonts w:hint="eastAsia" w:ascii="Times New Roman" w:hAnsi="Times New Roman" w:eastAsia="方正仿宋简体" w:cs="方正仿宋简体"/>
                <w:bCs/>
                <w:sz w:val="24"/>
                <w:szCs w:val="24"/>
                <w:lang w:eastAsia="zh-CN"/>
              </w:rPr>
              <w:t>”紧密型利益联结机制。</w:t>
            </w:r>
          </w:p>
        </w:tc>
      </w:tr>
      <w:tr w14:paraId="59C9E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0" w:hRule="atLeast"/>
        </w:trPr>
        <w:tc>
          <w:tcPr>
            <w:tcW w:w="1839" w:type="dxa"/>
            <w:vAlign w:val="center"/>
          </w:tcPr>
          <w:p w14:paraId="4C42B001">
            <w:pPr>
              <w:widowControl/>
              <w:spacing w:line="270" w:lineRule="exact"/>
              <w:jc w:val="both"/>
              <w:rPr>
                <w:rFonts w:hint="eastAsia" w:ascii="Times New Roman" w:hAnsi="Times New Roman" w:eastAsia="方正仿宋简体" w:cs="方正仿宋简体"/>
                <w:bCs/>
                <w:sz w:val="24"/>
                <w:szCs w:val="24"/>
                <w:lang w:eastAsia="zh-CN"/>
              </w:rPr>
            </w:pPr>
            <w:r>
              <w:rPr>
                <w:rFonts w:hint="eastAsia" w:ascii="Times New Roman" w:hAnsi="Times New Roman" w:eastAsia="方正仿宋简体" w:cs="方正仿宋简体"/>
                <w:bCs/>
                <w:sz w:val="24"/>
                <w:szCs w:val="24"/>
                <w:lang w:eastAsia="zh-CN"/>
              </w:rPr>
              <w:t>清洁能源产业</w:t>
            </w:r>
          </w:p>
        </w:tc>
        <w:tc>
          <w:tcPr>
            <w:tcW w:w="2546" w:type="dxa"/>
            <w:vAlign w:val="center"/>
          </w:tcPr>
          <w:p w14:paraId="3566FC45">
            <w:pPr>
              <w:widowControl/>
              <w:spacing w:line="270" w:lineRule="exact"/>
              <w:jc w:val="both"/>
              <w:rPr>
                <w:rFonts w:hint="eastAsia" w:ascii="Times New Roman" w:hAnsi="Times New Roman" w:eastAsia="方正仿宋简体" w:cs="方正仿宋简体"/>
                <w:bCs/>
                <w:sz w:val="24"/>
                <w:szCs w:val="24"/>
                <w:lang w:eastAsia="zh-CN"/>
              </w:rPr>
            </w:pPr>
            <w:r>
              <w:rPr>
                <w:rFonts w:hint="eastAsia" w:ascii="Times New Roman" w:hAnsi="Times New Roman" w:eastAsia="方正仿宋简体" w:cs="方正仿宋简体"/>
                <w:bCs/>
                <w:sz w:val="24"/>
                <w:szCs w:val="24"/>
                <w:lang w:eastAsia="zh-CN"/>
              </w:rPr>
              <w:t>光伏、风电、水电、地热、多能互补一体化开发项目</w:t>
            </w:r>
          </w:p>
        </w:tc>
        <w:tc>
          <w:tcPr>
            <w:tcW w:w="4450" w:type="dxa"/>
            <w:vAlign w:val="center"/>
          </w:tcPr>
          <w:p w14:paraId="4AE8A334">
            <w:pPr>
              <w:widowControl/>
              <w:spacing w:line="270" w:lineRule="exact"/>
              <w:jc w:val="both"/>
              <w:rPr>
                <w:rFonts w:hint="eastAsia" w:ascii="Times New Roman" w:hAnsi="Times New Roman" w:eastAsia="方正仿宋简体" w:cs="方正仿宋简体"/>
                <w:bCs/>
                <w:sz w:val="24"/>
                <w:szCs w:val="24"/>
                <w:lang w:eastAsia="zh-CN"/>
              </w:rPr>
            </w:pPr>
            <w:r>
              <w:rPr>
                <w:rFonts w:hint="eastAsia" w:ascii="Times New Roman" w:hAnsi="Times New Roman" w:eastAsia="方正仿宋简体" w:cs="方正仿宋简体"/>
                <w:b/>
                <w:sz w:val="24"/>
                <w:szCs w:val="24"/>
                <w:lang w:eastAsia="zh-CN"/>
              </w:rPr>
              <w:t>资源禀赋得天独厚：</w:t>
            </w:r>
            <w:r>
              <w:rPr>
                <w:rFonts w:hint="eastAsia" w:ascii="Times New Roman" w:hAnsi="Times New Roman" w:eastAsia="方正仿宋简体" w:cs="方正仿宋简体"/>
                <w:bCs/>
                <w:sz w:val="24"/>
                <w:szCs w:val="24"/>
                <w:lang w:eastAsia="zh-CN"/>
              </w:rPr>
              <w:t>地处三江源上游重要生态功能区，光能、风能、水能资源储量充沛，具备规模化绿色能源开发先天条件，助力打造国家清洁能源贡献地。</w:t>
            </w:r>
          </w:p>
        </w:tc>
      </w:tr>
      <w:tr w14:paraId="6E399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0" w:hRule="atLeast"/>
        </w:trPr>
        <w:tc>
          <w:tcPr>
            <w:tcW w:w="1839" w:type="dxa"/>
            <w:vAlign w:val="center"/>
          </w:tcPr>
          <w:p w14:paraId="32C84689">
            <w:pPr>
              <w:widowControl/>
              <w:spacing w:line="270" w:lineRule="exact"/>
              <w:jc w:val="both"/>
              <w:rPr>
                <w:rFonts w:hint="eastAsia" w:ascii="Times New Roman" w:hAnsi="Times New Roman" w:eastAsia="方正仿宋简体" w:cs="方正仿宋简体"/>
                <w:bCs/>
                <w:sz w:val="24"/>
                <w:szCs w:val="24"/>
                <w:lang w:eastAsia="zh-CN"/>
              </w:rPr>
            </w:pPr>
            <w:r>
              <w:rPr>
                <w:rFonts w:hint="eastAsia" w:ascii="Times New Roman" w:hAnsi="Times New Roman" w:eastAsia="方正仿宋简体" w:cs="方正仿宋简体"/>
                <w:bCs/>
                <w:sz w:val="24"/>
                <w:szCs w:val="24"/>
                <w:lang w:eastAsia="zh-CN"/>
              </w:rPr>
              <w:t>生态文旅产业</w:t>
            </w:r>
          </w:p>
        </w:tc>
        <w:tc>
          <w:tcPr>
            <w:tcW w:w="2546" w:type="dxa"/>
            <w:vAlign w:val="center"/>
          </w:tcPr>
          <w:p w14:paraId="4846B695">
            <w:pPr>
              <w:widowControl/>
              <w:spacing w:line="270" w:lineRule="exact"/>
              <w:jc w:val="both"/>
              <w:rPr>
                <w:rFonts w:hint="eastAsia" w:ascii="Times New Roman" w:hAnsi="Times New Roman" w:eastAsia="方正仿宋简体" w:cs="方正仿宋简体"/>
                <w:bCs/>
                <w:sz w:val="24"/>
                <w:szCs w:val="24"/>
                <w:lang w:eastAsia="zh-CN"/>
              </w:rPr>
            </w:pPr>
            <w:r>
              <w:rPr>
                <w:rFonts w:hint="eastAsia" w:ascii="Times New Roman" w:hAnsi="Times New Roman" w:eastAsia="方正仿宋简体" w:cs="方正仿宋简体"/>
                <w:bCs/>
                <w:sz w:val="24"/>
                <w:szCs w:val="24"/>
                <w:lang w:eastAsia="zh-CN"/>
              </w:rPr>
              <w:t>恰青赛马节、纳木错、普若岗日冰川、羌塘象雄文化遗址、自驾环线、民俗民宿等</w:t>
            </w:r>
          </w:p>
        </w:tc>
        <w:tc>
          <w:tcPr>
            <w:tcW w:w="4450" w:type="dxa"/>
            <w:vAlign w:val="center"/>
          </w:tcPr>
          <w:p w14:paraId="5BD7508A">
            <w:pPr>
              <w:widowControl/>
              <w:spacing w:line="270" w:lineRule="exact"/>
              <w:jc w:val="both"/>
              <w:rPr>
                <w:rFonts w:hint="eastAsia" w:ascii="Times New Roman" w:hAnsi="Times New Roman" w:eastAsia="方正仿宋简体" w:cs="方正仿宋简体"/>
                <w:bCs/>
                <w:sz w:val="24"/>
                <w:szCs w:val="24"/>
                <w:lang w:eastAsia="zh-CN"/>
              </w:rPr>
            </w:pPr>
            <w:r>
              <w:rPr>
                <w:rFonts w:hint="eastAsia" w:ascii="Times New Roman" w:hAnsi="Times New Roman" w:eastAsia="方正仿宋简体" w:cs="方正仿宋简体"/>
                <w:b/>
                <w:sz w:val="24"/>
                <w:szCs w:val="24"/>
                <w:lang w:eastAsia="zh-CN"/>
              </w:rPr>
              <w:t>体验不可复制：</w:t>
            </w:r>
            <w:r>
              <w:rPr>
                <w:rFonts w:hint="eastAsia" w:ascii="Times New Roman" w:hAnsi="Times New Roman" w:eastAsia="方正仿宋简体" w:cs="方正仿宋简体"/>
                <w:bCs/>
                <w:sz w:val="24"/>
                <w:szCs w:val="24"/>
                <w:lang w:eastAsia="zh-CN"/>
              </w:rPr>
              <w:t>融合世界级极地高原自然风光、藏北原生游牧民俗、古羌塘象雄历史文脉，构建差异化高原特种旅游产品体系。</w:t>
            </w:r>
          </w:p>
        </w:tc>
      </w:tr>
    </w:tbl>
    <w:p w14:paraId="31C485ED">
      <w:pPr>
        <w:topLinePunct/>
        <w:autoSpaceDE/>
        <w:autoSpaceDN/>
        <w:spacing w:line="576" w:lineRule="exact"/>
        <w:ind w:firstLine="640" w:firstLineChars="200"/>
        <w:jc w:val="both"/>
        <w:rPr>
          <w:rFonts w:ascii="Times New Roman" w:hAnsi="Times New Roman" w:eastAsia="方正仿宋简体" w:cs="方正仿宋简体"/>
          <w:bCs/>
          <w:sz w:val="32"/>
          <w:szCs w:val="32"/>
          <w:lang w:val="en-US" w:eastAsia="zh-CN"/>
        </w:rPr>
      </w:pPr>
      <w:r>
        <w:rPr>
          <w:rFonts w:ascii="Times New Roman" w:hAnsi="Times New Roman" w:eastAsia="方正仿宋简体" w:cs="方正仿宋简体"/>
          <w:bCs/>
          <w:sz w:val="32"/>
          <w:szCs w:val="32"/>
          <w:lang w:val="en-US" w:eastAsia="zh-CN"/>
        </w:rPr>
        <w:t>综合资源基底、生产模式、产品属性、综合贡献四大维度，纳入</w:t>
      </w:r>
      <w:r>
        <w:rPr>
          <w:rFonts w:ascii="Times New Roman" w:hAnsi="Times New Roman" w:eastAsia="方正仿宋简体" w:cs="方正仿宋简体"/>
          <w:sz w:val="32"/>
          <w:szCs w:val="32"/>
        </w:rPr>
        <w:t>《目录》</w:t>
      </w:r>
      <w:r>
        <w:rPr>
          <w:rFonts w:ascii="Times New Roman" w:hAnsi="Times New Roman" w:eastAsia="方正仿宋简体" w:cs="方正仿宋简体"/>
          <w:bCs/>
          <w:sz w:val="32"/>
          <w:szCs w:val="32"/>
          <w:lang w:val="en-US" w:eastAsia="zh-CN"/>
        </w:rPr>
        <w:t>的产业，须同时满足四项硬性判定标准：</w:t>
      </w:r>
    </w:p>
    <w:p w14:paraId="5B5293F6">
      <w:pPr>
        <w:pStyle w:val="8"/>
        <w:topLinePunct/>
        <w:autoSpaceDE/>
        <w:autoSpaceDN/>
        <w:spacing w:before="0" w:line="576" w:lineRule="exact"/>
        <w:ind w:left="0" w:firstLine="640" w:firstLineChars="200"/>
        <w:jc w:val="both"/>
        <w:outlineLvl w:val="0"/>
        <w:rPr>
          <w:rFonts w:ascii="Times New Roman" w:hAnsi="Times New Roman" w:eastAsia="方正黑体简体" w:cs="方正仿宋简体"/>
          <w:sz w:val="32"/>
          <w:szCs w:val="32"/>
          <w:lang w:val="en-US" w:eastAsia="zh-CN"/>
        </w:rPr>
      </w:pPr>
      <w:bookmarkStart w:id="70" w:name="_Toc243241413"/>
      <w:r>
        <w:rPr>
          <w:rFonts w:ascii="Times New Roman" w:hAnsi="Times New Roman" w:eastAsia="方正黑体简体" w:cs="方正仿宋简体"/>
          <w:sz w:val="32"/>
          <w:szCs w:val="32"/>
          <w:lang w:val="en-US" w:eastAsia="zh-CN"/>
        </w:rPr>
        <w:t>一、根植区域专属稀缺资源，夯实产业发展根基</w:t>
      </w:r>
      <w:bookmarkEnd w:id="70"/>
    </w:p>
    <w:p w14:paraId="0A032D6C">
      <w:pPr>
        <w:topLinePunct/>
        <w:autoSpaceDE/>
        <w:autoSpaceDN/>
        <w:spacing w:line="576" w:lineRule="exact"/>
        <w:ind w:firstLine="640" w:firstLineChars="200"/>
        <w:jc w:val="both"/>
        <w:rPr>
          <w:rFonts w:hint="eastAsia" w:ascii="方正仿宋简体" w:hAnsi="方正仿宋简体" w:eastAsia="方正仿宋简体" w:cs="方正仿宋简体"/>
          <w:bCs/>
          <w:sz w:val="32"/>
          <w:szCs w:val="32"/>
          <w:lang w:val="en-US" w:eastAsia="zh-CN"/>
        </w:rPr>
      </w:pPr>
      <w:r>
        <w:rPr>
          <w:rFonts w:hint="eastAsia" w:ascii="方正仿宋简体" w:hAnsi="方正仿宋简体" w:eastAsia="方正仿宋简体" w:cs="方正仿宋简体"/>
          <w:bCs/>
          <w:sz w:val="32"/>
          <w:szCs w:val="32"/>
          <w:lang w:val="en-US" w:eastAsia="zh-CN"/>
        </w:rPr>
        <w:t>资源独有性是彰显“那曲特色”的首要前提，分为自然资源、文化资源两大板块。自然资源涵盖全域高寒草场、本土优良畜禽种质、高原藏药材、冰川河湖风光、风光水清洁能源等空间不可复制禀赋；文化资源</w:t>
      </w:r>
      <w:r>
        <w:rPr>
          <w:rFonts w:hint="eastAsia" w:ascii="方正仿宋简体" w:hAnsi="方正仿宋简体" w:eastAsia="方正仿宋简体" w:cs="方正仿宋简体"/>
          <w:sz w:val="32"/>
          <w:szCs w:val="32"/>
        </w:rPr>
        <w:t>囊括</w:t>
      </w:r>
      <w:r>
        <w:rPr>
          <w:rFonts w:hint="eastAsia" w:ascii="方正仿宋简体" w:hAnsi="方正仿宋简体" w:eastAsia="方正仿宋简体" w:cs="方正仿宋简体"/>
          <w:bCs/>
          <w:sz w:val="32"/>
          <w:szCs w:val="32"/>
          <w:lang w:val="en-US" w:eastAsia="zh-CN"/>
        </w:rPr>
        <w:t>各类非物质文化遗产、游牧民俗、羌塘象雄文化与格萨尔文化传承体系。上述资源空间分布地域性强、跨区域转移难度大，天然构筑差异化竞争壁垒，为特色产业培育提供不可替代的基础支撑。</w:t>
      </w:r>
    </w:p>
    <w:p w14:paraId="36F22EAC">
      <w:pPr>
        <w:pStyle w:val="8"/>
        <w:topLinePunct/>
        <w:autoSpaceDE/>
        <w:autoSpaceDN/>
        <w:spacing w:before="0" w:line="576" w:lineRule="exact"/>
        <w:ind w:left="0" w:firstLine="640" w:firstLineChars="200"/>
        <w:jc w:val="both"/>
        <w:outlineLvl w:val="0"/>
        <w:rPr>
          <w:rFonts w:ascii="Times New Roman" w:hAnsi="Times New Roman" w:eastAsia="方正黑体简体" w:cs="方正仿宋简体"/>
          <w:sz w:val="32"/>
          <w:szCs w:val="32"/>
          <w:lang w:val="en-US" w:eastAsia="zh-CN"/>
        </w:rPr>
      </w:pPr>
      <w:bookmarkStart w:id="71" w:name="_Toc243241414"/>
      <w:r>
        <w:rPr>
          <w:rFonts w:ascii="Times New Roman" w:hAnsi="Times New Roman" w:eastAsia="方正黑体简体" w:cs="方正仿宋简体"/>
          <w:sz w:val="32"/>
          <w:szCs w:val="32"/>
          <w:lang w:val="en-US" w:eastAsia="zh-CN"/>
        </w:rPr>
        <w:t>二、依托特色工艺传承与创新经营组织模式</w:t>
      </w:r>
      <w:bookmarkEnd w:id="71"/>
    </w:p>
    <w:p w14:paraId="03F55D4C">
      <w:pPr>
        <w:topLinePunct/>
        <w:autoSpaceDE/>
        <w:autoSpaceDN/>
        <w:spacing w:line="576" w:lineRule="exact"/>
        <w:ind w:firstLine="643" w:firstLineChars="200"/>
        <w:jc w:val="both"/>
        <w:rPr>
          <w:rFonts w:hint="eastAsia" w:ascii="方正仿宋简体" w:hAnsi="方正仿宋简体" w:eastAsia="方正仿宋简体" w:cs="方正仿宋简体"/>
          <w:bCs/>
          <w:sz w:val="32"/>
          <w:szCs w:val="32"/>
          <w:lang w:val="en-US" w:eastAsia="zh-CN"/>
        </w:rPr>
      </w:pPr>
      <w:r>
        <w:rPr>
          <w:rFonts w:hint="eastAsia" w:ascii="方正仿宋简体" w:hAnsi="方正仿宋简体" w:eastAsia="方正仿宋简体" w:cs="方正仿宋简体"/>
          <w:b/>
          <w:bCs w:val="0"/>
          <w:sz w:val="32"/>
          <w:szCs w:val="32"/>
          <w:lang w:val="en-US" w:eastAsia="zh-CN"/>
        </w:rPr>
        <w:t>一是</w:t>
      </w:r>
      <w:r>
        <w:rPr>
          <w:rFonts w:hint="eastAsia" w:ascii="方正仿宋简体" w:hAnsi="方正仿宋简体" w:eastAsia="方正仿宋简体" w:cs="方正仿宋简体"/>
          <w:bCs/>
          <w:sz w:val="32"/>
          <w:szCs w:val="32"/>
          <w:lang w:val="en-US" w:eastAsia="zh-CN"/>
        </w:rPr>
        <w:t>推动传统技艺活态传承与提质升级，支持“拉拉”奶酪手工制作、藏香古法炮制等传统工艺对标现代食品、文创生产规范迭代优化；</w:t>
      </w:r>
      <w:r>
        <w:rPr>
          <w:rFonts w:hint="eastAsia" w:ascii="方正仿宋简体" w:hAnsi="方正仿宋简体" w:eastAsia="方正仿宋简体" w:cs="方正仿宋简体"/>
          <w:b/>
          <w:bCs w:val="0"/>
          <w:sz w:val="32"/>
          <w:szCs w:val="32"/>
          <w:lang w:val="en-US" w:eastAsia="zh-CN"/>
        </w:rPr>
        <w:t>二是</w:t>
      </w:r>
      <w:r>
        <w:rPr>
          <w:rFonts w:hint="eastAsia" w:ascii="方正仿宋简体" w:hAnsi="方正仿宋简体" w:eastAsia="方正仿宋简体" w:cs="方正仿宋简体"/>
          <w:sz w:val="32"/>
          <w:szCs w:val="32"/>
        </w:rPr>
        <w:t>加快</w:t>
      </w:r>
      <w:r>
        <w:rPr>
          <w:rFonts w:hint="eastAsia" w:ascii="方正仿宋简体" w:hAnsi="方正仿宋简体" w:eastAsia="方正仿宋简体" w:cs="方正仿宋简体"/>
          <w:bCs/>
          <w:sz w:val="32"/>
          <w:szCs w:val="32"/>
          <w:lang w:val="en-US" w:eastAsia="zh-CN"/>
        </w:rPr>
        <w:t>高原适用现代技术落地应用，联合科研院所开展牧草选育、高海拔储能、本土畜种改良等关键技术攻关；</w:t>
      </w:r>
      <w:r>
        <w:rPr>
          <w:rFonts w:hint="eastAsia" w:ascii="方正仿宋简体" w:hAnsi="方正仿宋简体" w:eastAsia="方正仿宋简体" w:cs="方正仿宋简体"/>
          <w:b/>
          <w:bCs w:val="0"/>
          <w:sz w:val="32"/>
          <w:szCs w:val="32"/>
          <w:lang w:val="en-US" w:eastAsia="zh-CN"/>
        </w:rPr>
        <w:t>三是</w:t>
      </w:r>
      <w:r>
        <w:rPr>
          <w:rFonts w:hint="eastAsia" w:ascii="方正仿宋简体" w:hAnsi="方正仿宋简体" w:eastAsia="方正仿宋简体" w:cs="方正仿宋简体"/>
          <w:bCs/>
          <w:sz w:val="32"/>
          <w:szCs w:val="32"/>
          <w:lang w:val="en-US" w:eastAsia="zh-CN"/>
        </w:rPr>
        <w:t>推广创新经营组织机制，全域健全“龙头企业+基地+合作社+农牧户”发展模式，畅通小牧户对接大市场全链条通道。</w:t>
      </w:r>
    </w:p>
    <w:p w14:paraId="7708D3CB">
      <w:pPr>
        <w:pStyle w:val="8"/>
        <w:topLinePunct/>
        <w:autoSpaceDE/>
        <w:autoSpaceDN/>
        <w:spacing w:before="0" w:line="576" w:lineRule="exact"/>
        <w:ind w:left="0" w:firstLine="640" w:firstLineChars="200"/>
        <w:jc w:val="both"/>
        <w:outlineLvl w:val="0"/>
        <w:rPr>
          <w:rFonts w:ascii="Times New Roman" w:hAnsi="Times New Roman" w:eastAsia="方正黑体简体" w:cs="方正仿宋简体"/>
          <w:sz w:val="32"/>
          <w:szCs w:val="32"/>
          <w:lang w:val="en-US" w:eastAsia="zh-CN"/>
        </w:rPr>
      </w:pPr>
      <w:bookmarkStart w:id="72" w:name="_Toc243241415"/>
      <w:r>
        <w:rPr>
          <w:rFonts w:ascii="Times New Roman" w:hAnsi="Times New Roman" w:eastAsia="方正黑体简体" w:cs="方正仿宋简体"/>
          <w:sz w:val="32"/>
          <w:szCs w:val="32"/>
          <w:lang w:val="en-US" w:eastAsia="zh-CN"/>
        </w:rPr>
        <w:t>三、能够产出具备差异化市场价值的特色产品</w:t>
      </w:r>
      <w:bookmarkEnd w:id="72"/>
    </w:p>
    <w:p w14:paraId="28B212E0">
      <w:pPr>
        <w:topLinePunct/>
        <w:autoSpaceDE/>
        <w:autoSpaceDN/>
        <w:spacing w:line="576" w:lineRule="exact"/>
        <w:ind w:firstLine="643" w:firstLineChars="200"/>
        <w:jc w:val="both"/>
        <w:rPr>
          <w:rFonts w:hint="eastAsia" w:ascii="方正仿宋简体" w:hAnsi="方正仿宋简体" w:eastAsia="方正仿宋简体" w:cs="方正仿宋简体"/>
          <w:bCs/>
          <w:sz w:val="32"/>
          <w:szCs w:val="32"/>
          <w:lang w:val="en-US" w:eastAsia="zh-CN"/>
        </w:rPr>
      </w:pPr>
      <w:r>
        <w:rPr>
          <w:rFonts w:hint="eastAsia" w:ascii="方正仿宋简体" w:hAnsi="方正仿宋简体" w:eastAsia="方正仿宋简体" w:cs="方正仿宋简体"/>
          <w:b/>
          <w:bCs w:val="0"/>
          <w:sz w:val="32"/>
          <w:szCs w:val="32"/>
          <w:lang w:val="en-US" w:eastAsia="zh-CN"/>
        </w:rPr>
        <w:t>一是</w:t>
      </w:r>
      <w:r>
        <w:rPr>
          <w:rFonts w:hint="eastAsia" w:ascii="方正仿宋简体" w:hAnsi="方正仿宋简体" w:eastAsia="方正仿宋简体" w:cs="方正仿宋简体"/>
          <w:bCs/>
          <w:sz w:val="32"/>
          <w:szCs w:val="32"/>
          <w:lang w:val="en-US" w:eastAsia="zh-CN"/>
        </w:rPr>
        <w:t>生态品质优势突出，极高海拔零污染自然环境造就牦牛肉、高原藏药材等产品独特营养组分，品质指标优于国内多数同类产品；</w:t>
      </w:r>
      <w:r>
        <w:rPr>
          <w:rFonts w:hint="eastAsia" w:ascii="方正仿宋简体" w:hAnsi="方正仿宋简体" w:eastAsia="方正仿宋简体" w:cs="方正仿宋简体"/>
          <w:b/>
          <w:bCs w:val="0"/>
          <w:sz w:val="32"/>
          <w:szCs w:val="32"/>
          <w:lang w:val="en-US" w:eastAsia="zh-CN"/>
        </w:rPr>
        <w:t>二是</w:t>
      </w:r>
      <w:r>
        <w:rPr>
          <w:rFonts w:hint="eastAsia" w:ascii="方正仿宋简体" w:hAnsi="方正仿宋简体" w:eastAsia="方正仿宋简体" w:cs="方正仿宋简体"/>
          <w:bCs/>
          <w:sz w:val="32"/>
          <w:szCs w:val="32"/>
          <w:lang w:val="en-US" w:eastAsia="zh-CN"/>
        </w:rPr>
        <w:t>人文附加值丰厚，唐卡、藏式手工艺品、游牧文创等承载鲜明藏北地域文化标识；</w:t>
      </w:r>
      <w:r>
        <w:rPr>
          <w:rFonts w:hint="eastAsia" w:ascii="方正仿宋简体" w:hAnsi="方正仿宋简体" w:eastAsia="方正仿宋简体" w:cs="方正仿宋简体"/>
          <w:b/>
          <w:bCs w:val="0"/>
          <w:sz w:val="32"/>
          <w:szCs w:val="32"/>
          <w:lang w:val="en-US" w:eastAsia="zh-CN"/>
        </w:rPr>
        <w:t>三是</w:t>
      </w:r>
      <w:r>
        <w:rPr>
          <w:rFonts w:hint="eastAsia" w:ascii="方正仿宋简体" w:hAnsi="方正仿宋简体" w:eastAsia="方正仿宋简体" w:cs="方正仿宋简体"/>
          <w:bCs/>
          <w:sz w:val="32"/>
          <w:szCs w:val="32"/>
          <w:lang w:val="en-US" w:eastAsia="zh-CN"/>
        </w:rPr>
        <w:t>那曲品牌体系持续成型，依托“极地那曲”区域公共品牌叠加牦牛、那曲冬虫夏草等地理标志，不断提升产品市场辨识度与品牌溢价能力。</w:t>
      </w:r>
    </w:p>
    <w:p w14:paraId="528AE63A">
      <w:pPr>
        <w:pStyle w:val="8"/>
        <w:topLinePunct/>
        <w:autoSpaceDE/>
        <w:autoSpaceDN/>
        <w:spacing w:before="0" w:line="576" w:lineRule="exact"/>
        <w:ind w:left="0" w:firstLine="640" w:firstLineChars="200"/>
        <w:jc w:val="both"/>
        <w:outlineLvl w:val="0"/>
        <w:rPr>
          <w:rFonts w:ascii="Times New Roman" w:hAnsi="Times New Roman" w:eastAsia="方正黑体简体" w:cs="方正仿宋简体"/>
          <w:sz w:val="32"/>
          <w:szCs w:val="32"/>
          <w:lang w:val="en-US" w:eastAsia="zh-CN"/>
        </w:rPr>
      </w:pPr>
      <w:bookmarkStart w:id="73" w:name="_Toc243241416"/>
      <w:r>
        <w:rPr>
          <w:rFonts w:ascii="Times New Roman" w:hAnsi="Times New Roman" w:eastAsia="方正黑体简体" w:cs="方正仿宋简体"/>
          <w:sz w:val="32"/>
          <w:szCs w:val="32"/>
          <w:lang w:val="en-US" w:eastAsia="zh-CN"/>
        </w:rPr>
        <w:t>四、具备全方位多层次综合发展效益</w:t>
      </w:r>
      <w:bookmarkEnd w:id="73"/>
    </w:p>
    <w:p w14:paraId="35AF2A85">
      <w:pPr>
        <w:topLinePunct/>
        <w:autoSpaceDE/>
        <w:autoSpaceDN/>
        <w:spacing w:line="576" w:lineRule="exact"/>
        <w:ind w:firstLine="640" w:firstLineChars="200"/>
        <w:jc w:val="both"/>
        <w:rPr>
          <w:rFonts w:hint="eastAsia" w:ascii="方正仿宋简体" w:hAnsi="方正仿宋简体" w:eastAsia="方正仿宋简体" w:cs="方正仿宋简体"/>
          <w:bCs/>
          <w:sz w:val="32"/>
          <w:szCs w:val="32"/>
          <w:lang w:val="en-US" w:eastAsia="zh-CN"/>
        </w:rPr>
      </w:pPr>
      <w:r>
        <w:rPr>
          <w:rFonts w:hint="eastAsia" w:ascii="方正仿宋简体" w:hAnsi="方正仿宋简体" w:eastAsia="方正仿宋简体" w:cs="方正仿宋简体"/>
          <w:bCs/>
          <w:sz w:val="32"/>
          <w:szCs w:val="32"/>
          <w:lang w:val="en-US" w:eastAsia="zh-CN"/>
        </w:rPr>
        <w:t>产业培育成效以经济增长、民生改善、产业升级、生态保护综合效益作为评判标尺。民生维度，嘎尔德、嘎确、甲岗拉姆以及各类非遗工坊等经营主体持续吸纳本地群众稳定就业，辐射带动大量牧民依靠原料供给、入股分红实现持续增收；产业维度，推动由传统粗放种养、零散手工生产向标准化、规模化、全链条现代化业态转型，持续夯实那曲现代化产业发展底盘；生态维度，坚持生态优先、绿色发展，实现产业发展与羌塘高原生态保护协同共进。</w:t>
      </w:r>
    </w:p>
    <w:p w14:paraId="1BFEF5ED">
      <w:pPr>
        <w:topLinePunct/>
        <w:autoSpaceDE/>
        <w:autoSpaceDN/>
        <w:spacing w:line="576" w:lineRule="exact"/>
        <w:ind w:firstLine="640" w:firstLineChars="200"/>
        <w:jc w:val="both"/>
        <w:rPr>
          <w:rFonts w:hint="eastAsia" w:ascii="方正仿宋简体" w:hAnsi="方正仿宋简体" w:eastAsia="方正仿宋简体" w:cs="方正仿宋简体"/>
          <w:bCs/>
          <w:sz w:val="32"/>
          <w:szCs w:val="32"/>
          <w:lang w:val="en-US" w:eastAsia="zh-CN"/>
        </w:rPr>
      </w:pPr>
      <w:r>
        <w:rPr>
          <w:rFonts w:hint="eastAsia" w:ascii="方正仿宋简体" w:hAnsi="方正仿宋简体" w:eastAsia="方正仿宋简体" w:cs="方正仿宋简体"/>
          <w:bCs/>
          <w:sz w:val="32"/>
          <w:szCs w:val="32"/>
          <w:lang w:val="en-US" w:eastAsia="zh-CN"/>
        </w:rPr>
        <w:t>综上，界定那曲特色产业，须统筹资源专属度、工艺独特性、产品差异化、综合贡献度四大维度综合研判。只有同时具备本地不可复制资源禀赋、形成适配高原实际的专属生产经营体系、产出辨识度突出的特色</w:t>
      </w:r>
      <w:r>
        <w:rPr>
          <w:rFonts w:hint="eastAsia" w:ascii="方正仿宋简体" w:hAnsi="方正仿宋简体" w:eastAsia="方正仿宋简体" w:cs="方正仿宋简体"/>
          <w:sz w:val="32"/>
          <w:szCs w:val="32"/>
        </w:rPr>
        <w:t>产品</w:t>
      </w:r>
      <w:r>
        <w:rPr>
          <w:rFonts w:hint="eastAsia" w:ascii="方正仿宋简体" w:hAnsi="方正仿宋简体" w:eastAsia="方正仿宋简体" w:cs="方正仿宋简体"/>
          <w:bCs/>
          <w:sz w:val="32"/>
          <w:szCs w:val="32"/>
          <w:lang w:val="en-US" w:eastAsia="zh-CN"/>
        </w:rPr>
        <w:t>，并在稳增长、促就业、优生态、固边疆等方面发挥不可替代作用的产业，方可纳入全市特色产业统筹培育体系，这也是那曲特色产业的核心内涵。</w:t>
      </w:r>
    </w:p>
    <w:p w14:paraId="1F2D5520">
      <w:pPr>
        <w:overflowPunct w:val="0"/>
        <w:spacing w:line="576" w:lineRule="exact"/>
        <w:ind w:firstLine="640" w:firstLineChars="200"/>
        <w:jc w:val="both"/>
        <w:rPr>
          <w:rFonts w:ascii="Times New Roman" w:hAnsi="Times New Roman" w:eastAsia="方正仿宋简体" w:cs="方正仿宋简体"/>
          <w:bCs/>
          <w:sz w:val="32"/>
          <w:szCs w:val="32"/>
          <w:lang w:eastAsia="zh-CN"/>
        </w:rPr>
        <w:sectPr>
          <w:pgSz w:w="11906" w:h="16838"/>
          <w:pgMar w:top="2098" w:right="1474" w:bottom="1984" w:left="1587" w:header="851" w:footer="992" w:gutter="0"/>
          <w:pgNumType w:fmt="decimal"/>
          <w:cols w:space="425" w:num="1"/>
          <w:docGrid w:type="lines" w:linePitch="312" w:charSpace="0"/>
        </w:sectPr>
      </w:pPr>
    </w:p>
    <w:p w14:paraId="29275FCE">
      <w:pPr>
        <w:pStyle w:val="27"/>
        <w:tabs>
          <w:tab w:val="left" w:pos="1248"/>
        </w:tabs>
        <w:topLinePunct/>
        <w:autoSpaceDE/>
        <w:autoSpaceDN/>
        <w:spacing w:line="576" w:lineRule="exact"/>
        <w:jc w:val="center"/>
        <w:outlineLvl w:val="0"/>
        <w:rPr>
          <w:rFonts w:ascii="Times New Roman" w:hAnsi="Times New Roman" w:eastAsia="方正小标宋简体" w:cs="方正小标宋简体"/>
          <w:b/>
          <w:spacing w:val="-2"/>
          <w:sz w:val="44"/>
          <w:szCs w:val="44"/>
        </w:rPr>
      </w:pPr>
      <w:bookmarkStart w:id="74" w:name="_Toc243241417"/>
      <w:r>
        <w:rPr>
          <w:rFonts w:hint="eastAsia" w:ascii="Times New Roman" w:hAnsi="Times New Roman" w:eastAsia="方正小标宋简体" w:cs="方正小标宋简体"/>
          <w:b/>
          <w:spacing w:val="-2"/>
          <w:sz w:val="44"/>
          <w:szCs w:val="44"/>
        </w:rPr>
        <w:t>第三章</w:t>
      </w:r>
      <w:bookmarkStart w:id="75" w:name="_Toc218422240"/>
      <w:r>
        <w:rPr>
          <w:rFonts w:hint="eastAsia" w:ascii="Times New Roman" w:hAnsi="Times New Roman" w:eastAsia="方正小标宋简体" w:cs="方正小标宋简体"/>
          <w:b/>
          <w:spacing w:val="-2"/>
          <w:sz w:val="44"/>
          <w:szCs w:val="44"/>
          <w:lang w:val="en-US" w:eastAsia="zh-CN"/>
        </w:rPr>
        <w:t xml:space="preserve"> </w:t>
      </w:r>
      <w:r>
        <w:rPr>
          <w:rFonts w:hint="eastAsia" w:ascii="Times New Roman" w:hAnsi="Times New Roman" w:eastAsia="方正小标宋简体" w:cs="方正仿宋简体"/>
          <w:b/>
          <w:spacing w:val="-2"/>
          <w:sz w:val="44"/>
          <w:szCs w:val="44"/>
          <w:lang w:val="en-US" w:eastAsia="zh-CN"/>
        </w:rPr>
        <w:t>那曲市产业发展现状</w:t>
      </w:r>
      <w:bookmarkEnd w:id="74"/>
      <w:bookmarkEnd w:id="75"/>
    </w:p>
    <w:p w14:paraId="669317A2">
      <w:pPr>
        <w:overflowPunct w:val="0"/>
        <w:spacing w:line="576" w:lineRule="exact"/>
        <w:ind w:firstLine="640" w:firstLineChars="200"/>
        <w:jc w:val="both"/>
        <w:rPr>
          <w:rFonts w:ascii="Times New Roman" w:hAnsi="Times New Roman" w:eastAsia="方正黑体简体" w:cs="方正黑体简体"/>
          <w:bCs/>
          <w:sz w:val="32"/>
          <w:szCs w:val="28"/>
          <w:lang w:val="en-US" w:eastAsia="zh-CN"/>
        </w:rPr>
      </w:pPr>
      <w:bookmarkStart w:id="76" w:name="_Toc218422241"/>
      <w:bookmarkStart w:id="77" w:name="_Toc216610394"/>
    </w:p>
    <w:p w14:paraId="33FE8BBA">
      <w:pPr>
        <w:pStyle w:val="8"/>
        <w:overflowPunct w:val="0"/>
        <w:spacing w:before="0" w:line="576" w:lineRule="exact"/>
        <w:ind w:left="0" w:firstLine="640" w:firstLineChars="200"/>
        <w:jc w:val="both"/>
        <w:outlineLvl w:val="0"/>
        <w:rPr>
          <w:rFonts w:ascii="Times New Roman" w:hAnsi="Times New Roman" w:eastAsia="方正黑体简体" w:cs="方正黑体简体"/>
          <w:sz w:val="32"/>
          <w:szCs w:val="32"/>
          <w:lang w:val="en-US" w:eastAsia="zh-CN"/>
        </w:rPr>
      </w:pPr>
      <w:bookmarkStart w:id="78" w:name="_Toc243241418"/>
      <w:r>
        <w:rPr>
          <w:rFonts w:hint="eastAsia" w:ascii="Times New Roman" w:hAnsi="Times New Roman" w:eastAsia="方正黑体简体" w:cs="方正黑体简体"/>
          <w:sz w:val="32"/>
          <w:szCs w:val="32"/>
          <w:lang w:val="en-US" w:eastAsia="zh-CN"/>
        </w:rPr>
        <w:t>一、特色产业发展取得的成就</w:t>
      </w:r>
      <w:bookmarkEnd w:id="76"/>
      <w:bookmarkEnd w:id="77"/>
      <w:bookmarkEnd w:id="78"/>
    </w:p>
    <w:p w14:paraId="47432B4C">
      <w:pPr>
        <w:overflowPunct w:val="0"/>
        <w:spacing w:line="576" w:lineRule="exact"/>
        <w:ind w:firstLine="640" w:firstLineChars="200"/>
        <w:jc w:val="both"/>
        <w:rPr>
          <w:rFonts w:ascii="Times New Roman" w:hAnsi="Times New Roman" w:eastAsia="方正仿宋简体" w:cs="方正仿宋简体"/>
          <w:bCs/>
          <w:sz w:val="32"/>
          <w:szCs w:val="28"/>
          <w:lang w:eastAsia="zh-CN"/>
        </w:rPr>
      </w:pPr>
      <w:r>
        <w:rPr>
          <w:rFonts w:hint="eastAsia" w:ascii="Times New Roman" w:hAnsi="Times New Roman" w:eastAsia="方正仿宋简体" w:cs="方正仿宋简体"/>
          <w:bCs/>
          <w:sz w:val="32"/>
          <w:szCs w:val="28"/>
          <w:lang w:val="en-US" w:eastAsia="zh-CN"/>
        </w:rPr>
        <w:t>党的</w:t>
      </w:r>
      <w:r>
        <w:rPr>
          <w:rFonts w:hint="eastAsia" w:ascii="Times New Roman" w:hAnsi="Times New Roman" w:eastAsia="方正仿宋简体" w:cs="方正仿宋简体"/>
          <w:bCs/>
          <w:sz w:val="32"/>
          <w:szCs w:val="28"/>
        </w:rPr>
        <w:t>十八大以来，那曲市摆脱了单一传统游牧业的局限，在农牧业、清洁能源、文旅三大核心领域实现跨越式发展，同时</w:t>
      </w:r>
      <w:bookmarkStart w:id="79" w:name="OLE_LINK65"/>
      <w:r>
        <w:rPr>
          <w:rFonts w:hint="eastAsia" w:ascii="Times New Roman" w:hAnsi="Times New Roman" w:eastAsia="方正仿宋简体" w:cs="方正仿宋简体"/>
          <w:bCs/>
          <w:sz w:val="32"/>
          <w:szCs w:val="28"/>
        </w:rPr>
        <w:t>产业带动群众增收</w:t>
      </w:r>
      <w:bookmarkEnd w:id="79"/>
      <w:r>
        <w:rPr>
          <w:rFonts w:hint="eastAsia" w:ascii="Times New Roman" w:hAnsi="Times New Roman" w:eastAsia="方正仿宋简体" w:cs="方正仿宋简体"/>
          <w:bCs/>
          <w:sz w:val="32"/>
          <w:szCs w:val="28"/>
        </w:rPr>
        <w:t>，成果丰硕</w:t>
      </w:r>
      <w:r>
        <w:rPr>
          <w:rFonts w:hint="eastAsia" w:ascii="Times New Roman" w:hAnsi="Times New Roman" w:eastAsia="方正仿宋简体" w:cs="方正仿宋简体"/>
          <w:bCs/>
          <w:sz w:val="32"/>
          <w:szCs w:val="28"/>
          <w:lang w:eastAsia="zh-CN"/>
        </w:rPr>
        <w:t>。</w:t>
      </w:r>
    </w:p>
    <w:p w14:paraId="76E0DC72">
      <w:pPr>
        <w:pStyle w:val="8"/>
        <w:overflowPunct w:val="0"/>
        <w:spacing w:before="0" w:line="576" w:lineRule="exact"/>
        <w:ind w:left="0" w:firstLine="640" w:firstLineChars="200"/>
        <w:jc w:val="both"/>
        <w:outlineLvl w:val="1"/>
        <w:rPr>
          <w:rFonts w:ascii="Times New Roman" w:hAnsi="Times New Roman" w:eastAsia="方正楷体简体" w:cs="方正楷体简体"/>
          <w:sz w:val="32"/>
          <w:szCs w:val="32"/>
        </w:rPr>
      </w:pPr>
      <w:bookmarkStart w:id="80" w:name="_Toc218422243"/>
      <w:bookmarkStart w:id="81" w:name="_Toc243241419"/>
      <w:r>
        <w:rPr>
          <w:rFonts w:hint="eastAsia" w:ascii="Times New Roman" w:hAnsi="Times New Roman" w:eastAsia="方正楷体简体" w:cs="方正楷体简体"/>
          <w:sz w:val="32"/>
          <w:szCs w:val="32"/>
        </w:rPr>
        <w:t>（一）农牧业提质增效</w:t>
      </w:r>
      <w:bookmarkEnd w:id="80"/>
      <w:bookmarkEnd w:id="81"/>
    </w:p>
    <w:p w14:paraId="2B75F973">
      <w:pPr>
        <w:overflowPunct w:val="0"/>
        <w:spacing w:line="576" w:lineRule="exact"/>
        <w:ind w:firstLine="640" w:firstLineChars="200"/>
        <w:jc w:val="both"/>
        <w:rPr>
          <w:rFonts w:ascii="Times New Roman" w:hAnsi="Times New Roman" w:eastAsia="方正仿宋简体" w:cs="方正仿宋简体"/>
          <w:bCs/>
          <w:sz w:val="32"/>
          <w:szCs w:val="28"/>
        </w:rPr>
      </w:pPr>
      <w:r>
        <w:rPr>
          <w:rFonts w:hint="eastAsia" w:ascii="Times New Roman" w:hAnsi="Times New Roman" w:eastAsia="方正仿宋简体" w:cs="方正仿宋简体"/>
          <w:bCs/>
          <w:sz w:val="32"/>
          <w:szCs w:val="28"/>
        </w:rPr>
        <w:t>那曲市作为全国五大牧区之一，牦牛产业实现现代化转型。</w:t>
      </w:r>
      <w:r>
        <w:rPr>
          <w:rFonts w:ascii="Times New Roman" w:hAnsi="Times New Roman" w:eastAsia="方正仿宋简体" w:cs="Times New Roman"/>
          <w:bCs/>
          <w:sz w:val="32"/>
          <w:szCs w:val="28"/>
          <w:lang w:eastAsia="zh-CN"/>
        </w:rPr>
        <w:t>2025年，全市牦牛产业保持稳定发展，存栏量约230万头，位居全区首位，占全区牦牛存栏比重保持在30%以上，仍是西藏牦牛产业的核心承载区。</w:t>
      </w:r>
      <w:r>
        <w:rPr>
          <w:rFonts w:hint="eastAsia" w:ascii="Times New Roman" w:hAnsi="Times New Roman" w:eastAsia="方正仿宋简体" w:cs="方正仿宋简体"/>
          <w:bCs/>
          <w:sz w:val="32"/>
          <w:szCs w:val="28"/>
        </w:rPr>
        <w:t>已建成</w:t>
      </w:r>
      <w:r>
        <w:rPr>
          <w:rFonts w:ascii="Times New Roman" w:hAnsi="Times New Roman" w:eastAsia="方正仿宋简体" w:cs="Times New Roman"/>
          <w:bCs/>
          <w:sz w:val="32"/>
          <w:szCs w:val="28"/>
          <w:lang w:eastAsia="zh-CN"/>
        </w:rPr>
        <w:t>1</w:t>
      </w:r>
      <w:r>
        <w:rPr>
          <w:rFonts w:hint="eastAsia" w:ascii="Times New Roman" w:hAnsi="Times New Roman" w:eastAsia="方正仿宋简体" w:cs="方正仿宋简体"/>
          <w:bCs/>
          <w:sz w:val="32"/>
          <w:szCs w:val="28"/>
        </w:rPr>
        <w:t>个国家级农牧业产业园、</w:t>
      </w:r>
      <w:r>
        <w:rPr>
          <w:rFonts w:ascii="Times New Roman" w:hAnsi="Times New Roman" w:eastAsia="方正仿宋简体" w:cs="Times New Roman"/>
          <w:bCs/>
          <w:sz w:val="32"/>
          <w:szCs w:val="28"/>
          <w:lang w:eastAsia="zh-CN"/>
        </w:rPr>
        <w:t>3</w:t>
      </w:r>
      <w:r>
        <w:rPr>
          <w:rFonts w:hint="eastAsia" w:ascii="Times New Roman" w:hAnsi="Times New Roman" w:eastAsia="方正仿宋简体" w:cs="方正仿宋简体"/>
          <w:bCs/>
          <w:sz w:val="32"/>
          <w:szCs w:val="28"/>
        </w:rPr>
        <w:t>家自治区级龙头企业和</w:t>
      </w:r>
      <w:r>
        <w:rPr>
          <w:rFonts w:ascii="Times New Roman" w:hAnsi="Times New Roman" w:eastAsia="方正仿宋简体" w:cs="Times New Roman"/>
          <w:bCs/>
          <w:sz w:val="32"/>
          <w:szCs w:val="28"/>
          <w:lang w:eastAsia="zh-CN"/>
        </w:rPr>
        <w:t>19</w:t>
      </w:r>
      <w:r>
        <w:rPr>
          <w:rFonts w:hint="eastAsia" w:ascii="Times New Roman" w:hAnsi="Times New Roman" w:eastAsia="方正仿宋简体" w:cs="方正仿宋简体"/>
          <w:bCs/>
          <w:sz w:val="32"/>
          <w:szCs w:val="28"/>
        </w:rPr>
        <w:t>家市级龙头企业，创办国家级合作社</w:t>
      </w:r>
      <w:r>
        <w:rPr>
          <w:rFonts w:ascii="Times New Roman" w:hAnsi="Times New Roman" w:eastAsia="方正仿宋简体" w:cs="Times New Roman"/>
          <w:bCs/>
          <w:sz w:val="32"/>
          <w:szCs w:val="28"/>
        </w:rPr>
        <w:t>32</w:t>
      </w:r>
      <w:r>
        <w:rPr>
          <w:rFonts w:hint="eastAsia" w:ascii="Times New Roman" w:hAnsi="Times New Roman" w:eastAsia="方正仿宋简体" w:cs="方正仿宋简体"/>
          <w:bCs/>
          <w:sz w:val="32"/>
          <w:szCs w:val="28"/>
        </w:rPr>
        <w:t>家、自治区级合作社</w:t>
      </w:r>
      <w:r>
        <w:rPr>
          <w:rFonts w:ascii="Times New Roman" w:hAnsi="Times New Roman" w:eastAsia="方正仿宋简体" w:cs="Times New Roman"/>
          <w:bCs/>
          <w:sz w:val="32"/>
          <w:szCs w:val="28"/>
          <w:lang w:eastAsia="zh-CN"/>
        </w:rPr>
        <w:t>11</w:t>
      </w:r>
      <w:r>
        <w:rPr>
          <w:rFonts w:hint="eastAsia" w:ascii="Times New Roman" w:hAnsi="Times New Roman" w:eastAsia="方正仿宋简体" w:cs="方正仿宋简体"/>
          <w:bCs/>
          <w:sz w:val="32"/>
          <w:szCs w:val="28"/>
        </w:rPr>
        <w:t>家、自治区级家庭牧场</w:t>
      </w:r>
      <w:r>
        <w:rPr>
          <w:rFonts w:ascii="Times New Roman" w:hAnsi="Times New Roman" w:eastAsia="方正仿宋简体" w:cs="Times New Roman"/>
          <w:bCs/>
          <w:sz w:val="32"/>
          <w:szCs w:val="28"/>
        </w:rPr>
        <w:t>7</w:t>
      </w:r>
      <w:r>
        <w:rPr>
          <w:rFonts w:hint="eastAsia" w:ascii="Times New Roman" w:hAnsi="Times New Roman" w:eastAsia="方正仿宋简体" w:cs="方正仿宋简体"/>
          <w:bCs/>
          <w:sz w:val="32"/>
          <w:szCs w:val="28"/>
        </w:rPr>
        <w:t>家，发展各类农牧民专业合作社</w:t>
      </w:r>
      <w:r>
        <w:rPr>
          <w:rFonts w:ascii="Times New Roman" w:hAnsi="Times New Roman" w:eastAsia="方正仿宋简体" w:cs="Times New Roman"/>
          <w:bCs/>
          <w:sz w:val="32"/>
          <w:szCs w:val="28"/>
          <w:lang w:eastAsia="zh-CN"/>
        </w:rPr>
        <w:t>16</w:t>
      </w:r>
      <w:r>
        <w:rPr>
          <w:rFonts w:hint="eastAsia" w:ascii="Times New Roman" w:hAnsi="Times New Roman" w:eastAsia="方正仿宋简体" w:cs="Times New Roman"/>
          <w:bCs/>
          <w:sz w:val="32"/>
          <w:szCs w:val="28"/>
          <w:lang w:val="en-US" w:eastAsia="zh-CN"/>
        </w:rPr>
        <w:t>16</w:t>
      </w:r>
      <w:r>
        <w:rPr>
          <w:rFonts w:hint="eastAsia" w:ascii="Times New Roman" w:hAnsi="Times New Roman" w:eastAsia="方正仿宋简体" w:cs="方正仿宋简体"/>
          <w:bCs/>
          <w:sz w:val="32"/>
          <w:szCs w:val="28"/>
        </w:rPr>
        <w:t>个、养殖大户</w:t>
      </w:r>
      <w:r>
        <w:rPr>
          <w:rFonts w:ascii="Times New Roman" w:hAnsi="Times New Roman" w:eastAsia="方正仿宋简体" w:cs="Times New Roman"/>
          <w:bCs/>
          <w:sz w:val="32"/>
          <w:szCs w:val="28"/>
          <w:lang w:eastAsia="zh-CN"/>
        </w:rPr>
        <w:t>4564</w:t>
      </w:r>
      <w:r>
        <w:rPr>
          <w:rFonts w:hint="eastAsia" w:ascii="Times New Roman" w:hAnsi="Times New Roman" w:eastAsia="方正仿宋简体" w:cs="方正仿宋简体"/>
          <w:bCs/>
          <w:sz w:val="32"/>
          <w:szCs w:val="28"/>
        </w:rPr>
        <w:t>户，注册家庭牧场</w:t>
      </w:r>
      <w:r>
        <w:rPr>
          <w:rFonts w:hint="eastAsia" w:ascii="Times New Roman" w:hAnsi="Times New Roman" w:eastAsia="方正仿宋简体" w:cs="方正仿宋简体"/>
          <w:bCs/>
          <w:sz w:val="32"/>
          <w:szCs w:val="28"/>
          <w:lang w:eastAsia="zh-CN"/>
        </w:rPr>
        <w:t>37</w:t>
      </w:r>
      <w:r>
        <w:rPr>
          <w:rFonts w:ascii="Times New Roman" w:hAnsi="Times New Roman" w:eastAsia="方正仿宋简体" w:cs="Times New Roman"/>
          <w:bCs/>
          <w:sz w:val="32"/>
          <w:szCs w:val="28"/>
          <w:lang w:eastAsia="zh-CN"/>
        </w:rPr>
        <w:t>34</w:t>
      </w:r>
      <w:r>
        <w:rPr>
          <w:rFonts w:hint="eastAsia" w:ascii="Times New Roman" w:hAnsi="Times New Roman" w:eastAsia="方正仿宋简体" w:cs="方正仿宋简体"/>
          <w:bCs/>
          <w:sz w:val="32"/>
          <w:szCs w:val="28"/>
        </w:rPr>
        <w:t>户。</w:t>
      </w:r>
      <w:r>
        <w:rPr>
          <w:rFonts w:hint="eastAsia" w:ascii="Times New Roman" w:hAnsi="Times New Roman" w:eastAsia="方正仿宋简体" w:cs="方正仿宋简体"/>
          <w:bCs/>
          <w:sz w:val="32"/>
          <w:szCs w:val="28"/>
          <w:lang w:eastAsia="zh-CN"/>
        </w:rPr>
        <w:t>那曲</w:t>
      </w:r>
      <w:r>
        <w:rPr>
          <w:rFonts w:hint="eastAsia" w:ascii="Times New Roman" w:hAnsi="Times New Roman" w:eastAsia="方正仿宋简体" w:cs="方正仿宋简体"/>
          <w:bCs/>
          <w:sz w:val="32"/>
          <w:szCs w:val="28"/>
        </w:rPr>
        <w:t>冬虫夏草产业表现亮眼，</w:t>
      </w:r>
      <w:r>
        <w:rPr>
          <w:rFonts w:ascii="Times New Roman" w:hAnsi="Times New Roman" w:eastAsia="方正仿宋简体" w:cs="Times New Roman"/>
          <w:bCs/>
          <w:sz w:val="32"/>
          <w:szCs w:val="28"/>
        </w:rPr>
        <w:t>2025年，那曲冬虫夏草产业持续壮大，全年新增税务登记纳税人约686户，总户数达1231户</w:t>
      </w:r>
      <w:r>
        <w:rPr>
          <w:rFonts w:hint="eastAsia" w:ascii="Times New Roman" w:hAnsi="Times New Roman" w:eastAsia="方正仿宋简体" w:cs="Times New Roman"/>
          <w:bCs/>
          <w:sz w:val="32"/>
          <w:szCs w:val="28"/>
          <w:lang w:eastAsia="zh-CN"/>
        </w:rPr>
        <w:t>；</w:t>
      </w:r>
      <w:r>
        <w:rPr>
          <w:rFonts w:ascii="Times New Roman" w:hAnsi="Times New Roman" w:eastAsia="方正仿宋简体" w:cs="方正仿宋简体"/>
          <w:bCs/>
          <w:sz w:val="32"/>
          <w:szCs w:val="28"/>
        </w:rPr>
        <w:t>出台《</w:t>
      </w:r>
      <w:r>
        <w:rPr>
          <w:rFonts w:hint="eastAsia" w:ascii="Times New Roman" w:hAnsi="Times New Roman" w:eastAsia="方正仿宋简体" w:cs="方正仿宋简体"/>
          <w:bCs/>
          <w:sz w:val="32"/>
          <w:szCs w:val="28"/>
          <w:lang w:val="en-US" w:eastAsia="zh-CN"/>
        </w:rPr>
        <w:t>那曲市</w:t>
      </w:r>
      <w:r>
        <w:rPr>
          <w:rFonts w:ascii="Times New Roman" w:hAnsi="Times New Roman" w:eastAsia="方正仿宋简体" w:cs="方正仿宋简体"/>
          <w:bCs/>
          <w:sz w:val="32"/>
          <w:szCs w:val="28"/>
        </w:rPr>
        <w:t>那曲冬虫夏草保护管理条例》，</w:t>
      </w:r>
      <w:r>
        <w:rPr>
          <w:rFonts w:hint="eastAsia" w:ascii="Times New Roman" w:hAnsi="Times New Roman" w:eastAsia="方正仿宋简体" w:cs="方正仿宋简体"/>
          <w:bCs/>
          <w:sz w:val="32"/>
          <w:szCs w:val="28"/>
        </w:rPr>
        <w:t>进一步巩固了那曲市在</w:t>
      </w:r>
      <w:r>
        <w:rPr>
          <w:rFonts w:hint="eastAsia" w:ascii="Times New Roman" w:hAnsi="Times New Roman" w:eastAsia="方正仿宋简体" w:cs="方正仿宋简体"/>
          <w:bCs/>
          <w:sz w:val="32"/>
          <w:szCs w:val="28"/>
          <w:lang w:val="en-US" w:eastAsia="zh-CN"/>
        </w:rPr>
        <w:t>生态</w:t>
      </w:r>
      <w:r>
        <w:rPr>
          <w:rFonts w:hint="eastAsia" w:ascii="Times New Roman" w:hAnsi="Times New Roman" w:eastAsia="方正仿宋简体" w:cs="方正仿宋简体"/>
          <w:bCs/>
          <w:sz w:val="32"/>
          <w:szCs w:val="28"/>
        </w:rPr>
        <w:t>农牧业领域的优势地位。</w:t>
      </w:r>
    </w:p>
    <w:p w14:paraId="67EF8A51">
      <w:pPr>
        <w:pStyle w:val="8"/>
        <w:overflowPunct w:val="0"/>
        <w:spacing w:before="0" w:line="576" w:lineRule="exact"/>
        <w:ind w:left="0" w:firstLine="640" w:firstLineChars="200"/>
        <w:jc w:val="both"/>
        <w:outlineLvl w:val="1"/>
        <w:rPr>
          <w:rFonts w:ascii="Times New Roman" w:hAnsi="Times New Roman" w:eastAsia="方正楷体简体" w:cs="方正楷体简体"/>
          <w:sz w:val="32"/>
          <w:szCs w:val="32"/>
        </w:rPr>
      </w:pPr>
      <w:bookmarkStart w:id="82" w:name="_Toc243241420"/>
      <w:bookmarkStart w:id="83" w:name="_Toc218422242"/>
      <w:r>
        <w:rPr>
          <w:rFonts w:hint="eastAsia" w:ascii="Times New Roman" w:hAnsi="Times New Roman" w:eastAsia="方正楷体简体" w:cs="方正楷体简体"/>
          <w:sz w:val="32"/>
          <w:szCs w:val="32"/>
        </w:rPr>
        <w:t>（二）清洁能源产业跨越式发展</w:t>
      </w:r>
      <w:bookmarkEnd w:id="82"/>
      <w:bookmarkEnd w:id="83"/>
    </w:p>
    <w:p w14:paraId="6B9A2196">
      <w:pPr>
        <w:overflowPunct w:val="0"/>
        <w:spacing w:line="576" w:lineRule="exact"/>
        <w:ind w:firstLine="640" w:firstLineChars="200"/>
        <w:jc w:val="both"/>
        <w:rPr>
          <w:rFonts w:ascii="Times New Roman" w:hAnsi="Times New Roman" w:eastAsia="方正仿宋简体" w:cs="方正仿宋简体"/>
          <w:bCs/>
          <w:sz w:val="32"/>
          <w:szCs w:val="28"/>
          <w:lang w:eastAsia="zh-CN"/>
        </w:rPr>
      </w:pPr>
      <w:r>
        <w:rPr>
          <w:rFonts w:hint="eastAsia" w:ascii="Times New Roman" w:hAnsi="Times New Roman" w:eastAsia="方正仿宋简体" w:cs="方正仿宋简体"/>
          <w:bCs/>
          <w:sz w:val="32"/>
          <w:szCs w:val="28"/>
        </w:rPr>
        <w:t>那曲市立足“羌塘聚宝盆”的资源禀赋，大力发展清洁能源产业，取得了历史性突破，初步形成了“</w:t>
      </w:r>
      <w:r>
        <w:rPr>
          <w:rFonts w:hint="eastAsia" w:ascii="Times New Roman" w:hAnsi="Times New Roman" w:eastAsia="方正仿宋简体" w:cs="方正仿宋简体"/>
          <w:bCs/>
          <w:sz w:val="32"/>
          <w:szCs w:val="28"/>
          <w:lang w:eastAsia="zh-CN"/>
        </w:rPr>
        <w:t>三线一片一区</w:t>
      </w:r>
      <w:r>
        <w:rPr>
          <w:rFonts w:hint="eastAsia" w:ascii="Times New Roman" w:hAnsi="Times New Roman" w:eastAsia="方正仿宋简体" w:cs="方正仿宋简体"/>
          <w:bCs/>
          <w:sz w:val="32"/>
          <w:szCs w:val="28"/>
        </w:rPr>
        <w:t>”清洁能源开发格局。</w:t>
      </w:r>
      <w:r>
        <w:rPr>
          <w:rFonts w:hint="eastAsia" w:ascii="Times New Roman" w:hAnsi="Times New Roman" w:eastAsia="方正仿宋简体" w:cs="方正仿宋简体"/>
          <w:sz w:val="32"/>
          <w:szCs w:val="32"/>
        </w:rPr>
        <w:t>全市清洁能源电力装机从</w:t>
      </w:r>
      <w:r>
        <w:rPr>
          <w:rFonts w:ascii="Times New Roman" w:hAnsi="Times New Roman" w:eastAsia="方正仿宋简体" w:cs="方正仿宋简体"/>
          <w:sz w:val="32"/>
          <w:szCs w:val="32"/>
        </w:rPr>
        <w:t>2021</w:t>
      </w:r>
      <w:r>
        <w:rPr>
          <w:rFonts w:hint="eastAsia" w:ascii="Times New Roman" w:hAnsi="Times New Roman" w:eastAsia="方正仿宋简体" w:cs="方正仿宋简体"/>
          <w:sz w:val="32"/>
          <w:szCs w:val="32"/>
        </w:rPr>
        <w:t>年的</w:t>
      </w:r>
      <w:r>
        <w:rPr>
          <w:rFonts w:ascii="Times New Roman" w:hAnsi="Times New Roman" w:eastAsia="方正仿宋简体" w:cs="方正仿宋简体"/>
          <w:sz w:val="32"/>
          <w:szCs w:val="32"/>
          <w:lang w:eastAsia="zh-CN"/>
        </w:rPr>
        <w:t>16</w:t>
      </w:r>
      <w:r>
        <w:rPr>
          <w:rFonts w:hint="eastAsia" w:ascii="Times New Roman" w:hAnsi="Times New Roman" w:eastAsia="方正仿宋简体" w:cs="方正仿宋简体"/>
          <w:sz w:val="32"/>
          <w:szCs w:val="32"/>
          <w:lang w:val="en-US" w:eastAsia="zh-CN"/>
        </w:rPr>
        <w:t>.</w:t>
      </w:r>
      <w:r>
        <w:rPr>
          <w:rFonts w:ascii="Times New Roman" w:hAnsi="Times New Roman" w:eastAsia="方正仿宋简体" w:cs="方正仿宋简体"/>
          <w:sz w:val="32"/>
          <w:szCs w:val="32"/>
          <w:lang w:eastAsia="zh-CN"/>
        </w:rPr>
        <w:t>68</w:t>
      </w:r>
      <w:r>
        <w:rPr>
          <w:rFonts w:hint="eastAsia" w:ascii="Times New Roman" w:hAnsi="Times New Roman" w:eastAsia="方正仿宋简体" w:cs="方正仿宋简体"/>
          <w:sz w:val="32"/>
          <w:szCs w:val="32"/>
        </w:rPr>
        <w:t>万千瓦增长到</w:t>
      </w:r>
      <w:r>
        <w:rPr>
          <w:rFonts w:hint="eastAsia" w:ascii="Times New Roman" w:hAnsi="Times New Roman" w:eastAsia="方正仿宋简体" w:cs="方正仿宋简体"/>
          <w:sz w:val="32"/>
          <w:szCs w:val="32"/>
          <w:lang w:eastAsia="zh-CN"/>
        </w:rPr>
        <w:t>2</w:t>
      </w:r>
      <w:r>
        <w:rPr>
          <w:rFonts w:hint="eastAsia" w:ascii="Times New Roman" w:hAnsi="Times New Roman" w:eastAsia="方正仿宋简体" w:cs="方正仿宋简体"/>
          <w:sz w:val="32"/>
          <w:szCs w:val="32"/>
          <w:lang w:val="en-US" w:eastAsia="zh-CN"/>
        </w:rPr>
        <w:t>025年的</w:t>
      </w:r>
      <w:r>
        <w:rPr>
          <w:rFonts w:ascii="Times New Roman" w:hAnsi="Times New Roman" w:eastAsia="方正仿宋简体" w:cs="方正仿宋简体"/>
          <w:sz w:val="32"/>
          <w:szCs w:val="32"/>
          <w:lang w:val="en-US" w:eastAsia="zh-CN"/>
        </w:rPr>
        <w:t>137</w:t>
      </w:r>
      <w:r>
        <w:rPr>
          <w:rFonts w:hint="eastAsia" w:ascii="Times New Roman" w:hAnsi="Times New Roman" w:eastAsia="方正仿宋简体" w:cs="方正仿宋简体"/>
          <w:sz w:val="32"/>
          <w:szCs w:val="32"/>
          <w:lang w:val="en-US" w:eastAsia="zh-CN"/>
        </w:rPr>
        <w:t>.</w:t>
      </w:r>
      <w:r>
        <w:rPr>
          <w:rFonts w:ascii="Times New Roman" w:hAnsi="Times New Roman" w:eastAsia="方正仿宋简体" w:cs="方正仿宋简体"/>
          <w:sz w:val="32"/>
          <w:szCs w:val="32"/>
          <w:lang w:val="en-US" w:eastAsia="zh-CN"/>
        </w:rPr>
        <w:t>68</w:t>
      </w:r>
      <w:r>
        <w:rPr>
          <w:rFonts w:hint="eastAsia" w:ascii="Times New Roman" w:hAnsi="Times New Roman" w:eastAsia="方正仿宋简体" w:cs="方正仿宋简体"/>
          <w:sz w:val="32"/>
          <w:szCs w:val="32"/>
          <w:lang w:val="en-US" w:eastAsia="zh-CN"/>
        </w:rPr>
        <w:t>万千瓦，其中光伏</w:t>
      </w:r>
      <w:r>
        <w:rPr>
          <w:rFonts w:ascii="Times New Roman" w:hAnsi="Times New Roman" w:eastAsia="方正仿宋简体" w:cs="方正仿宋简体"/>
          <w:sz w:val="32"/>
          <w:szCs w:val="32"/>
          <w:lang w:val="en-US" w:eastAsia="zh-CN"/>
        </w:rPr>
        <w:t>99</w:t>
      </w:r>
      <w:r>
        <w:rPr>
          <w:rFonts w:hint="eastAsia" w:ascii="Times New Roman" w:hAnsi="Times New Roman" w:eastAsia="方正仿宋简体" w:cs="方正仿宋简体"/>
          <w:sz w:val="32"/>
          <w:szCs w:val="32"/>
          <w:lang w:val="en-US" w:eastAsia="zh-CN"/>
        </w:rPr>
        <w:t>.</w:t>
      </w:r>
      <w:r>
        <w:rPr>
          <w:rFonts w:ascii="Times New Roman" w:hAnsi="Times New Roman" w:eastAsia="方正仿宋简体" w:cs="方正仿宋简体"/>
          <w:sz w:val="32"/>
          <w:szCs w:val="32"/>
          <w:lang w:val="en-US" w:eastAsia="zh-CN"/>
        </w:rPr>
        <w:t>25</w:t>
      </w:r>
      <w:r>
        <w:rPr>
          <w:rFonts w:hint="eastAsia" w:ascii="Times New Roman" w:hAnsi="Times New Roman" w:eastAsia="方正仿宋简体" w:cs="方正仿宋简体"/>
          <w:sz w:val="32"/>
          <w:szCs w:val="32"/>
          <w:lang w:val="en-US" w:eastAsia="zh-CN"/>
        </w:rPr>
        <w:t>万千瓦、风电</w:t>
      </w:r>
      <w:r>
        <w:rPr>
          <w:rFonts w:ascii="Times New Roman" w:hAnsi="Times New Roman" w:eastAsia="方正仿宋简体" w:cs="方正仿宋简体"/>
          <w:sz w:val="32"/>
          <w:szCs w:val="32"/>
          <w:lang w:val="en-US" w:eastAsia="zh-CN"/>
        </w:rPr>
        <w:t>30</w:t>
      </w:r>
      <w:r>
        <w:rPr>
          <w:rFonts w:hint="eastAsia" w:ascii="Times New Roman" w:hAnsi="Times New Roman" w:eastAsia="方正仿宋简体" w:cs="方正仿宋简体"/>
          <w:sz w:val="32"/>
          <w:szCs w:val="32"/>
          <w:lang w:val="en-US" w:eastAsia="zh-CN"/>
        </w:rPr>
        <w:t>.</w:t>
      </w:r>
      <w:r>
        <w:rPr>
          <w:rFonts w:ascii="Times New Roman" w:hAnsi="Times New Roman" w:eastAsia="方正仿宋简体" w:cs="方正仿宋简体"/>
          <w:sz w:val="32"/>
          <w:szCs w:val="32"/>
          <w:lang w:val="en-US" w:eastAsia="zh-CN"/>
        </w:rPr>
        <w:t>75</w:t>
      </w:r>
      <w:r>
        <w:rPr>
          <w:rFonts w:hint="eastAsia" w:ascii="Times New Roman" w:hAnsi="Times New Roman" w:eastAsia="方正仿宋简体" w:cs="方正仿宋简体"/>
          <w:sz w:val="32"/>
          <w:szCs w:val="32"/>
          <w:lang w:val="en-US" w:eastAsia="zh-CN"/>
        </w:rPr>
        <w:t>万千瓦、水电</w:t>
      </w:r>
      <w:r>
        <w:rPr>
          <w:rFonts w:ascii="Times New Roman" w:hAnsi="Times New Roman" w:eastAsia="方正仿宋简体" w:cs="方正仿宋简体"/>
          <w:sz w:val="32"/>
          <w:szCs w:val="32"/>
          <w:lang w:val="en-US" w:eastAsia="zh-CN"/>
        </w:rPr>
        <w:t>7</w:t>
      </w:r>
      <w:r>
        <w:rPr>
          <w:rFonts w:hint="eastAsia" w:ascii="Times New Roman" w:hAnsi="Times New Roman" w:eastAsia="方正仿宋简体" w:cs="方正仿宋简体"/>
          <w:sz w:val="32"/>
          <w:szCs w:val="32"/>
          <w:lang w:val="en-US" w:eastAsia="zh-CN"/>
        </w:rPr>
        <w:t>.</w:t>
      </w:r>
      <w:r>
        <w:rPr>
          <w:rFonts w:ascii="Times New Roman" w:hAnsi="Times New Roman" w:eastAsia="方正仿宋简体" w:cs="方正仿宋简体"/>
          <w:sz w:val="32"/>
          <w:szCs w:val="32"/>
          <w:lang w:val="en-US" w:eastAsia="zh-CN"/>
        </w:rPr>
        <w:t>68</w:t>
      </w:r>
      <w:r>
        <w:rPr>
          <w:rFonts w:hint="eastAsia" w:ascii="Times New Roman" w:hAnsi="Times New Roman" w:eastAsia="方正仿宋简体" w:cs="方正仿宋简体"/>
          <w:sz w:val="32"/>
          <w:szCs w:val="32"/>
          <w:lang w:val="en-US" w:eastAsia="zh-CN"/>
        </w:rPr>
        <w:t>万千瓦。</w:t>
      </w:r>
      <w:r>
        <w:rPr>
          <w:rFonts w:ascii="Times New Roman" w:hAnsi="Times New Roman" w:eastAsia="方正仿宋简体" w:cs="方正仿宋简体"/>
          <w:sz w:val="32"/>
          <w:szCs w:val="32"/>
          <w:lang w:val="en-US" w:eastAsia="zh-CN"/>
        </w:rPr>
        <w:t>2023</w:t>
      </w:r>
      <w:r>
        <w:rPr>
          <w:rFonts w:hint="eastAsia" w:ascii="Times New Roman" w:hAnsi="Times New Roman" w:eastAsia="方正仿宋简体" w:cs="方正仿宋简体"/>
          <w:sz w:val="32"/>
          <w:szCs w:val="32"/>
          <w:lang w:val="en-US" w:eastAsia="zh-CN"/>
        </w:rPr>
        <w:t>年首次实现“那电外送”，</w:t>
      </w:r>
      <w:bookmarkStart w:id="84" w:name="OLE_LINK4"/>
      <w:r>
        <w:rPr>
          <w:rFonts w:hint="eastAsia" w:ascii="Times New Roman" w:hAnsi="Times New Roman" w:eastAsia="方正仿宋简体" w:cs="方正仿宋简体"/>
          <w:sz w:val="32"/>
          <w:szCs w:val="32"/>
          <w:lang w:val="en-US" w:eastAsia="zh-CN"/>
        </w:rPr>
        <w:t>2025年</w:t>
      </w:r>
      <w:r>
        <w:rPr>
          <w:rFonts w:ascii="Times New Roman" w:hAnsi="Times New Roman" w:eastAsia="方正仿宋简体" w:cs="方正仿宋简体"/>
          <w:sz w:val="32"/>
          <w:szCs w:val="32"/>
          <w:lang w:val="en-US" w:eastAsia="zh-CN"/>
        </w:rPr>
        <w:t>电力外送量</w:t>
      </w:r>
      <w:r>
        <w:rPr>
          <w:rFonts w:hint="eastAsia" w:ascii="Times New Roman" w:hAnsi="Times New Roman" w:eastAsia="方正仿宋简体" w:cs="方正仿宋简体"/>
          <w:sz w:val="32"/>
          <w:szCs w:val="32"/>
          <w:lang w:val="en-US" w:eastAsia="zh-CN"/>
        </w:rPr>
        <w:t>达</w:t>
      </w:r>
      <w:r>
        <w:rPr>
          <w:rFonts w:ascii="Times New Roman" w:hAnsi="Times New Roman" w:eastAsia="方正仿宋简体" w:cs="方正仿宋简体"/>
          <w:sz w:val="32"/>
          <w:szCs w:val="32"/>
          <w:lang w:val="en-US" w:eastAsia="zh-CN"/>
        </w:rPr>
        <w:t>1.25亿千瓦时，同比</w:t>
      </w:r>
      <w:r>
        <w:rPr>
          <w:rFonts w:hint="eastAsia" w:ascii="Times New Roman" w:hAnsi="Times New Roman" w:eastAsia="方正仿宋简体" w:cs="方正仿宋简体"/>
          <w:sz w:val="32"/>
          <w:szCs w:val="32"/>
          <w:lang w:val="en-US" w:eastAsia="zh-CN"/>
        </w:rPr>
        <w:t>增长</w:t>
      </w:r>
      <w:r>
        <w:rPr>
          <w:rFonts w:ascii="Times New Roman" w:hAnsi="Times New Roman" w:eastAsia="方正仿宋简体" w:cs="方正仿宋简体"/>
          <w:sz w:val="32"/>
          <w:szCs w:val="32"/>
          <w:lang w:val="en-US" w:eastAsia="zh-CN"/>
        </w:rPr>
        <w:t>35.76%</w:t>
      </w:r>
      <w:r>
        <w:rPr>
          <w:rFonts w:hint="eastAsia" w:ascii="Times New Roman" w:hAnsi="Times New Roman" w:eastAsia="方正仿宋简体" w:cs="方正仿宋简体"/>
          <w:sz w:val="32"/>
          <w:szCs w:val="32"/>
          <w:lang w:val="en-US" w:eastAsia="zh-CN"/>
        </w:rPr>
        <w:t>。</w:t>
      </w:r>
      <w:bookmarkEnd w:id="84"/>
      <w:r>
        <w:rPr>
          <w:rFonts w:hint="eastAsia" w:ascii="Times New Roman" w:hAnsi="Times New Roman" w:eastAsia="方正仿宋简体" w:cs="方正仿宋简体"/>
          <w:sz w:val="32"/>
          <w:szCs w:val="32"/>
          <w:lang w:val="en-US" w:eastAsia="zh-CN"/>
        </w:rPr>
        <w:t>那曲</w:t>
      </w:r>
      <w:r>
        <w:rPr>
          <w:rFonts w:hint="eastAsia" w:ascii="Times New Roman" w:hAnsi="Times New Roman" w:eastAsia="方正仿宋简体" w:cs="方正仿宋简体"/>
          <w:bCs/>
          <w:sz w:val="32"/>
          <w:szCs w:val="28"/>
        </w:rPr>
        <w:t>市还建成了全国海拔最高、装机容量最大的高原独立构网型储能项目。甘丹康桑清洁能源产业园为高原地区新能源消纳提供了可复制方案。目前，</w:t>
      </w:r>
      <w:r>
        <w:rPr>
          <w:rFonts w:hint="eastAsia" w:ascii="Times New Roman" w:hAnsi="Times New Roman" w:eastAsia="方正仿宋简体" w:cs="方正仿宋简体"/>
          <w:bCs/>
          <w:sz w:val="32"/>
          <w:szCs w:val="28"/>
          <w:lang w:val="en-US" w:eastAsia="zh-CN"/>
        </w:rPr>
        <w:t>那曲</w:t>
      </w:r>
      <w:r>
        <w:rPr>
          <w:rFonts w:hint="eastAsia" w:ascii="Times New Roman" w:hAnsi="Times New Roman" w:eastAsia="方正仿宋简体" w:cs="方正仿宋简体"/>
          <w:bCs/>
          <w:sz w:val="32"/>
          <w:szCs w:val="28"/>
        </w:rPr>
        <w:t>市已规划</w:t>
      </w:r>
      <w:r>
        <w:rPr>
          <w:rFonts w:hint="eastAsia" w:ascii="Times New Roman" w:hAnsi="Times New Roman" w:eastAsia="方正仿宋简体" w:cs="方正仿宋简体"/>
          <w:bCs/>
          <w:sz w:val="32"/>
          <w:szCs w:val="28"/>
          <w:lang w:eastAsia="zh-CN"/>
        </w:rPr>
        <w:t>9个县（区）清洁能源产业园，总面积150.33万亩，形成以甘丹康桑为核心，全市9园联动的风光储为主的大型绿电基地。</w:t>
      </w:r>
    </w:p>
    <w:p w14:paraId="1307615E">
      <w:pPr>
        <w:pStyle w:val="8"/>
        <w:overflowPunct w:val="0"/>
        <w:spacing w:before="0" w:line="576" w:lineRule="exact"/>
        <w:ind w:left="0" w:firstLine="640" w:firstLineChars="200"/>
        <w:jc w:val="both"/>
        <w:outlineLvl w:val="1"/>
        <w:rPr>
          <w:rFonts w:ascii="Times New Roman" w:hAnsi="Times New Roman" w:eastAsia="方正楷体简体" w:cs="方正楷体简体"/>
          <w:sz w:val="32"/>
          <w:szCs w:val="32"/>
        </w:rPr>
      </w:pPr>
      <w:bookmarkStart w:id="85" w:name="_Toc218422244"/>
      <w:bookmarkStart w:id="86" w:name="_Toc243241421"/>
      <w:r>
        <w:rPr>
          <w:rFonts w:hint="eastAsia" w:ascii="Times New Roman" w:hAnsi="Times New Roman" w:eastAsia="方正楷体简体" w:cs="方正楷体简体"/>
          <w:sz w:val="32"/>
          <w:szCs w:val="32"/>
        </w:rPr>
        <w:t>（三）文化旅游产业蓬勃发展</w:t>
      </w:r>
      <w:bookmarkEnd w:id="85"/>
      <w:bookmarkEnd w:id="86"/>
    </w:p>
    <w:p w14:paraId="1D2F1FF4">
      <w:pPr>
        <w:overflowPunct w:val="0"/>
        <w:spacing w:line="576" w:lineRule="exact"/>
        <w:ind w:firstLine="640" w:firstLineChars="200"/>
        <w:jc w:val="both"/>
        <w:rPr>
          <w:rFonts w:ascii="Times New Roman" w:hAnsi="Times New Roman" w:eastAsia="方正仿宋简体" w:cs="方正仿宋简体"/>
          <w:bCs/>
          <w:sz w:val="32"/>
          <w:szCs w:val="28"/>
        </w:rPr>
      </w:pPr>
      <w:r>
        <w:rPr>
          <w:rFonts w:hint="eastAsia" w:ascii="Times New Roman" w:hAnsi="Times New Roman" w:eastAsia="方正仿宋简体" w:cs="方正仿宋简体"/>
          <w:bCs/>
          <w:sz w:val="32"/>
          <w:szCs w:val="28"/>
        </w:rPr>
        <w:t>那曲市明确“极地那曲</w:t>
      </w:r>
      <w:r>
        <w:rPr>
          <w:rFonts w:hint="eastAsia" w:ascii="Times New Roman" w:hAnsi="Times New Roman" w:eastAsia="方正仿宋简体" w:cs="方正仿宋简体"/>
          <w:bCs/>
          <w:sz w:val="32"/>
          <w:szCs w:val="28"/>
          <w:lang w:val="en-US" w:eastAsia="zh-CN"/>
        </w:rPr>
        <w:t>·</w:t>
      </w:r>
      <w:r>
        <w:rPr>
          <w:rFonts w:hint="eastAsia" w:ascii="Times New Roman" w:hAnsi="Times New Roman" w:eastAsia="方正仿宋简体" w:cs="方正仿宋简体"/>
          <w:bCs/>
          <w:sz w:val="32"/>
          <w:szCs w:val="28"/>
        </w:rPr>
        <w:t>天际之旅”总体战略定位，文旅产业成为经济增长新引擎。</w:t>
      </w:r>
      <w:r>
        <w:rPr>
          <w:rFonts w:ascii="Times New Roman" w:hAnsi="Times New Roman" w:eastAsia="方正仿宋简体" w:cs="Times New Roman"/>
          <w:bCs/>
          <w:sz w:val="32"/>
          <w:szCs w:val="28"/>
        </w:rPr>
        <w:t>2025年，文旅产业持续高速增长，全年接待游客294.35万人次，同比增长34.34%；实现旅游总</w:t>
      </w:r>
      <w:r>
        <w:rPr>
          <w:rFonts w:hint="eastAsia" w:ascii="Times New Roman" w:hAnsi="Times New Roman" w:eastAsia="方正仿宋简体" w:cs="Times New Roman"/>
          <w:bCs/>
          <w:sz w:val="32"/>
          <w:szCs w:val="28"/>
        </w:rPr>
        <w:t>收入</w:t>
      </w:r>
      <w:r>
        <w:rPr>
          <w:rFonts w:ascii="Times New Roman" w:hAnsi="Times New Roman" w:eastAsia="方正仿宋简体" w:cs="Times New Roman"/>
          <w:bCs/>
          <w:sz w:val="32"/>
          <w:szCs w:val="28"/>
        </w:rPr>
        <w:t>9.57亿元，同比增长31.9%；文化产业产值达8.4亿元，同比增长35.85%，文旅融合发展动能强劲。</w:t>
      </w:r>
      <w:r>
        <w:rPr>
          <w:rFonts w:hint="eastAsia" w:ascii="Times New Roman" w:hAnsi="Times New Roman" w:eastAsia="方正仿宋简体" w:cs="方正仿宋简体"/>
          <w:bCs/>
          <w:sz w:val="32"/>
          <w:szCs w:val="28"/>
        </w:rPr>
        <w:t>“十四五”期间，那曲市在文化旅游基础设施上共计投入各类资金</w:t>
      </w:r>
      <w:r>
        <w:rPr>
          <w:rFonts w:hint="eastAsia" w:ascii="Times New Roman" w:hAnsi="Times New Roman" w:eastAsia="方正仿宋简体" w:cs="方正仿宋简体"/>
          <w:bCs/>
          <w:sz w:val="32"/>
          <w:szCs w:val="28"/>
          <w:lang w:eastAsia="zh-CN"/>
        </w:rPr>
        <w:t>3</w:t>
      </w:r>
      <w:r>
        <w:rPr>
          <w:rFonts w:hint="eastAsia" w:ascii="Times New Roman" w:hAnsi="Times New Roman" w:eastAsia="方正仿宋简体" w:cs="方正仿宋简体"/>
          <w:bCs/>
          <w:sz w:val="32"/>
          <w:szCs w:val="28"/>
        </w:rPr>
        <w:t>亿元，建设完善独俊大峡谷、萨普景区、当惹雍错等景区基础设施，为游客提供了更加便捷、舒适的旅游环境。</w:t>
      </w:r>
    </w:p>
    <w:p w14:paraId="33E98E16">
      <w:pPr>
        <w:pStyle w:val="8"/>
        <w:overflowPunct w:val="0"/>
        <w:spacing w:before="0" w:line="576" w:lineRule="exact"/>
        <w:ind w:left="0" w:firstLine="640" w:firstLineChars="200"/>
        <w:jc w:val="both"/>
        <w:outlineLvl w:val="1"/>
        <w:rPr>
          <w:rFonts w:ascii="Times New Roman" w:hAnsi="Times New Roman" w:eastAsia="方正楷体简体" w:cs="方正楷体简体"/>
          <w:sz w:val="32"/>
          <w:szCs w:val="32"/>
        </w:rPr>
      </w:pPr>
      <w:bookmarkStart w:id="87" w:name="_Toc218422245"/>
      <w:bookmarkStart w:id="88" w:name="_Toc243241422"/>
      <w:r>
        <w:rPr>
          <w:rFonts w:hint="eastAsia" w:ascii="Times New Roman" w:hAnsi="Times New Roman" w:eastAsia="方正楷体简体" w:cs="方正楷体简体"/>
          <w:sz w:val="32"/>
          <w:szCs w:val="32"/>
        </w:rPr>
        <w:t>（四）产业融合带动群众增收</w:t>
      </w:r>
      <w:bookmarkEnd w:id="87"/>
      <w:bookmarkEnd w:id="88"/>
    </w:p>
    <w:p w14:paraId="21FCAF8C">
      <w:pPr>
        <w:overflowPunct w:val="0"/>
        <w:spacing w:line="576" w:lineRule="exact"/>
        <w:ind w:firstLine="640" w:firstLineChars="200"/>
        <w:jc w:val="both"/>
        <w:rPr>
          <w:rFonts w:ascii="Times New Roman" w:hAnsi="Times New Roman" w:eastAsia="方正仿宋简体" w:cs="方正仿宋简体"/>
          <w:bCs/>
          <w:sz w:val="32"/>
          <w:szCs w:val="28"/>
        </w:rPr>
      </w:pPr>
      <w:r>
        <w:rPr>
          <w:rFonts w:hint="eastAsia" w:ascii="Times New Roman" w:hAnsi="Times New Roman" w:eastAsia="方正仿宋简体" w:cs="方正仿宋简体"/>
          <w:bCs/>
          <w:sz w:val="32"/>
          <w:szCs w:val="28"/>
        </w:rPr>
        <w:t>产业发展有效带动了农牧民增收致富。在那曲市清洁能源产业建设过程中，累计吸引牧民群众参与投劳</w:t>
      </w:r>
      <w:r>
        <w:rPr>
          <w:rFonts w:ascii="Times New Roman" w:hAnsi="Times New Roman" w:eastAsia="方正仿宋简体" w:cs="Times New Roman"/>
          <w:bCs/>
          <w:sz w:val="32"/>
          <w:szCs w:val="28"/>
          <w:lang w:eastAsia="zh-CN"/>
        </w:rPr>
        <w:t>5000</w:t>
      </w:r>
      <w:r>
        <w:rPr>
          <w:rFonts w:hint="eastAsia" w:ascii="Times New Roman" w:hAnsi="Times New Roman" w:eastAsia="方正仿宋简体" w:cs="方正仿宋简体"/>
          <w:bCs/>
          <w:sz w:val="32"/>
          <w:szCs w:val="28"/>
        </w:rPr>
        <w:t>余人次，落实工资兑现</w:t>
      </w:r>
      <w:r>
        <w:rPr>
          <w:rFonts w:ascii="Times New Roman" w:hAnsi="Times New Roman" w:eastAsia="方正仿宋简体" w:cs="Times New Roman"/>
          <w:bCs/>
          <w:sz w:val="32"/>
          <w:szCs w:val="28"/>
        </w:rPr>
        <w:t>5000</w:t>
      </w:r>
      <w:r>
        <w:rPr>
          <w:rFonts w:hint="eastAsia" w:ascii="Times New Roman" w:hAnsi="Times New Roman" w:eastAsia="方正仿宋简体" w:cs="方正仿宋简体"/>
          <w:bCs/>
          <w:sz w:val="32"/>
          <w:szCs w:val="28"/>
        </w:rPr>
        <w:t>余万元；解决大学生就业岗位</w:t>
      </w:r>
      <w:r>
        <w:rPr>
          <w:rFonts w:ascii="Times New Roman" w:hAnsi="Times New Roman" w:eastAsia="方正仿宋简体" w:cs="Times New Roman"/>
          <w:bCs/>
          <w:sz w:val="32"/>
          <w:szCs w:val="28"/>
          <w:lang w:eastAsia="zh-CN"/>
        </w:rPr>
        <w:t>80</w:t>
      </w:r>
      <w:r>
        <w:rPr>
          <w:rFonts w:hint="eastAsia" w:ascii="Times New Roman" w:hAnsi="Times New Roman" w:eastAsia="方正仿宋简体" w:cs="方正仿宋简体"/>
          <w:bCs/>
          <w:sz w:val="32"/>
          <w:szCs w:val="28"/>
        </w:rPr>
        <w:t>余个，落实工资兑现</w:t>
      </w:r>
      <w:r>
        <w:rPr>
          <w:rFonts w:ascii="Times New Roman" w:hAnsi="Times New Roman" w:eastAsia="方正仿宋简体" w:cs="Times New Roman"/>
          <w:bCs/>
          <w:sz w:val="32"/>
          <w:szCs w:val="28"/>
          <w:lang w:eastAsia="zh-CN"/>
        </w:rPr>
        <w:t>1000</w:t>
      </w:r>
      <w:r>
        <w:rPr>
          <w:rFonts w:hint="eastAsia" w:ascii="Times New Roman" w:hAnsi="Times New Roman" w:eastAsia="方正仿宋简体" w:cs="方正仿宋简体"/>
          <w:bCs/>
          <w:sz w:val="32"/>
          <w:szCs w:val="28"/>
        </w:rPr>
        <w:t>余万元；落实草原租赁资金</w:t>
      </w:r>
      <w:r>
        <w:rPr>
          <w:rFonts w:ascii="Times New Roman" w:hAnsi="Times New Roman" w:eastAsia="方正仿宋简体" w:cs="Times New Roman"/>
          <w:bCs/>
          <w:sz w:val="32"/>
          <w:szCs w:val="28"/>
          <w:lang w:eastAsia="zh-CN"/>
        </w:rPr>
        <w:t>8400</w:t>
      </w:r>
      <w:r>
        <w:rPr>
          <w:rFonts w:hint="eastAsia" w:ascii="Times New Roman" w:hAnsi="Times New Roman" w:eastAsia="方正仿宋简体" w:cs="方正仿宋简体"/>
          <w:bCs/>
          <w:sz w:val="32"/>
          <w:szCs w:val="28"/>
        </w:rPr>
        <w:t>余万元。全年新增办税登记</w:t>
      </w:r>
      <w:r>
        <w:rPr>
          <w:rFonts w:ascii="Times New Roman" w:hAnsi="Times New Roman" w:eastAsia="方正仿宋简体" w:cs="Times New Roman"/>
          <w:bCs/>
          <w:sz w:val="32"/>
          <w:szCs w:val="28"/>
          <w:lang w:eastAsia="zh-CN"/>
        </w:rPr>
        <w:t>2934</w:t>
      </w:r>
      <w:r>
        <w:rPr>
          <w:rFonts w:hint="eastAsia" w:ascii="Times New Roman" w:hAnsi="Times New Roman" w:eastAsia="方正仿宋简体" w:cs="方正仿宋简体"/>
          <w:bCs/>
          <w:sz w:val="32"/>
          <w:szCs w:val="28"/>
        </w:rPr>
        <w:t>户，同比增长</w:t>
      </w:r>
      <w:r>
        <w:rPr>
          <w:rFonts w:ascii="Times New Roman" w:hAnsi="Times New Roman" w:eastAsia="方正仿宋简体" w:cs="Times New Roman"/>
          <w:bCs/>
          <w:sz w:val="32"/>
          <w:szCs w:val="28"/>
          <w:lang w:eastAsia="zh-CN"/>
        </w:rPr>
        <w:t>19</w:t>
      </w:r>
      <w:r>
        <w:rPr>
          <w:rFonts w:hint="eastAsia" w:ascii="Times New Roman" w:hAnsi="Times New Roman" w:eastAsia="方正仿宋简体" w:cs="Times New Roman"/>
          <w:bCs/>
          <w:sz w:val="32"/>
          <w:szCs w:val="28"/>
          <w:lang w:val="en-US" w:eastAsia="zh-CN"/>
        </w:rPr>
        <w:t>.</w:t>
      </w:r>
      <w:r>
        <w:rPr>
          <w:rFonts w:ascii="Times New Roman" w:hAnsi="Times New Roman" w:eastAsia="方正仿宋简体" w:cs="Times New Roman"/>
          <w:bCs/>
          <w:sz w:val="32"/>
          <w:szCs w:val="28"/>
          <w:lang w:eastAsia="zh-CN"/>
        </w:rPr>
        <w:t>1</w:t>
      </w:r>
      <w:r>
        <w:rPr>
          <w:rFonts w:hint="eastAsia" w:ascii="Times New Roman" w:hAnsi="Times New Roman" w:eastAsia="方正仿宋简体" w:cs="Times New Roman"/>
          <w:bCs/>
          <w:sz w:val="32"/>
          <w:szCs w:val="28"/>
          <w:lang w:eastAsia="zh-CN"/>
        </w:rPr>
        <w:t>%</w:t>
      </w:r>
      <w:r>
        <w:rPr>
          <w:rFonts w:hint="eastAsia" w:ascii="Times New Roman" w:hAnsi="Times New Roman" w:eastAsia="方正仿宋简体" w:cs="方正仿宋简体"/>
          <w:bCs/>
          <w:sz w:val="32"/>
          <w:szCs w:val="28"/>
        </w:rPr>
        <w:t>，经营主体活力持续增强。</w:t>
      </w:r>
    </w:p>
    <w:p w14:paraId="75E74142">
      <w:pPr>
        <w:pStyle w:val="8"/>
        <w:overflowPunct w:val="0"/>
        <w:spacing w:before="0" w:line="576" w:lineRule="exact"/>
        <w:ind w:left="0" w:firstLine="640" w:firstLineChars="200"/>
        <w:jc w:val="both"/>
        <w:outlineLvl w:val="0"/>
        <w:rPr>
          <w:rFonts w:ascii="Times New Roman" w:hAnsi="Times New Roman" w:eastAsia="方正黑体简体" w:cs="方正黑体简体"/>
          <w:sz w:val="32"/>
          <w:szCs w:val="32"/>
          <w:lang w:val="en-US" w:eastAsia="zh-CN"/>
        </w:rPr>
      </w:pPr>
      <w:bookmarkStart w:id="89" w:name="_Toc218422246"/>
      <w:bookmarkStart w:id="90" w:name="_Toc243241423"/>
      <w:bookmarkStart w:id="91" w:name="OLE_LINK258"/>
      <w:r>
        <w:rPr>
          <w:rFonts w:hint="eastAsia" w:ascii="Times New Roman" w:hAnsi="Times New Roman" w:eastAsia="方正黑体简体" w:cs="方正黑体简体"/>
          <w:sz w:val="32"/>
          <w:szCs w:val="32"/>
          <w:lang w:val="en-US" w:eastAsia="zh-CN"/>
        </w:rPr>
        <w:t>二、特色产业</w:t>
      </w:r>
      <w:bookmarkEnd w:id="89"/>
      <w:r>
        <w:rPr>
          <w:rFonts w:hint="eastAsia" w:ascii="Times New Roman" w:hAnsi="Times New Roman" w:eastAsia="方正黑体简体" w:cs="方正黑体简体"/>
          <w:sz w:val="32"/>
          <w:szCs w:val="32"/>
          <w:lang w:val="en-US" w:eastAsia="zh-CN"/>
        </w:rPr>
        <w:t>发展现状</w:t>
      </w:r>
      <w:bookmarkEnd w:id="90"/>
    </w:p>
    <w:p w14:paraId="43BF720B">
      <w:pPr>
        <w:pStyle w:val="27"/>
        <w:overflowPunct w:val="0"/>
        <w:spacing w:line="576" w:lineRule="exact"/>
        <w:ind w:firstLine="640" w:firstLineChars="200"/>
        <w:jc w:val="both"/>
        <w:rPr>
          <w:rFonts w:ascii="Times New Roman" w:hAnsi="Times New Roman" w:eastAsia="方正仿宋简体" w:cs="方正仿宋简体"/>
          <w:bCs/>
          <w:sz w:val="32"/>
          <w:szCs w:val="28"/>
        </w:rPr>
      </w:pPr>
      <w:bookmarkStart w:id="92" w:name="_Toc212558088"/>
      <w:r>
        <w:rPr>
          <w:rFonts w:hint="eastAsia" w:ascii="Times New Roman" w:hAnsi="Times New Roman" w:eastAsia="方正仿宋简体" w:cs="方正仿宋简体"/>
          <w:bCs/>
          <w:sz w:val="32"/>
          <w:szCs w:val="28"/>
        </w:rPr>
        <w:t>那曲市产业依托独特的高原生态、文化及自然资源，形成了多产业协同发展的基础格局，核心优势资源集中在十二个产业中的前八大领域，</w:t>
      </w:r>
      <w:r>
        <w:rPr>
          <w:rFonts w:ascii="Times New Roman" w:hAnsi="Times New Roman" w:eastAsia="方正仿宋简体" w:cs="方正仿宋简体"/>
          <w:bCs/>
          <w:sz w:val="32"/>
          <w:szCs w:val="28"/>
        </w:rPr>
        <w:t>天然饮用水产业、卤虫卵产业处于培育起步阶段，低空经济、算力经济尚处于零星试点培育阶段，尚未形成成熟完备的产业体系</w:t>
      </w:r>
      <w:r>
        <w:rPr>
          <w:rFonts w:hint="eastAsia" w:ascii="Times New Roman" w:hAnsi="Times New Roman" w:eastAsia="方正仿宋简体" w:cs="方正仿宋简体"/>
          <w:bCs/>
          <w:sz w:val="32"/>
          <w:szCs w:val="28"/>
        </w:rPr>
        <w:t>。</w:t>
      </w:r>
    </w:p>
    <w:p w14:paraId="2286ED95">
      <w:pPr>
        <w:pStyle w:val="8"/>
        <w:overflowPunct w:val="0"/>
        <w:topLinePunct/>
        <w:autoSpaceDE/>
        <w:autoSpaceDN/>
        <w:spacing w:before="0" w:line="576" w:lineRule="exact"/>
        <w:ind w:left="0" w:firstLine="640" w:firstLineChars="200"/>
        <w:jc w:val="both"/>
        <w:outlineLvl w:val="1"/>
        <w:rPr>
          <w:rFonts w:ascii="Times New Roman" w:hAnsi="Times New Roman" w:eastAsia="方正楷体简体" w:cs="方正楷体简体"/>
          <w:sz w:val="32"/>
          <w:szCs w:val="32"/>
          <w:lang w:eastAsia="zh-CN"/>
        </w:rPr>
      </w:pPr>
      <w:bookmarkStart w:id="93" w:name="_Toc218422247"/>
      <w:bookmarkStart w:id="94" w:name="_Toc243241424"/>
      <w:r>
        <w:rPr>
          <w:rFonts w:hint="eastAsia" w:ascii="Times New Roman" w:hAnsi="Times New Roman" w:eastAsia="方正楷体简体" w:cs="方正楷体简体"/>
          <w:sz w:val="32"/>
          <w:szCs w:val="32"/>
        </w:rPr>
        <w:t>（一）</w:t>
      </w:r>
      <w:bookmarkEnd w:id="92"/>
      <w:bookmarkEnd w:id="93"/>
      <w:r>
        <w:rPr>
          <w:rFonts w:hint="eastAsia" w:ascii="Times New Roman" w:hAnsi="Times New Roman" w:eastAsia="方正楷体简体" w:cs="方正仿宋简体"/>
          <w:sz w:val="32"/>
          <w:szCs w:val="32"/>
          <w:lang w:eastAsia="zh-CN"/>
        </w:rPr>
        <w:t>高原</w:t>
      </w:r>
      <w:r>
        <w:rPr>
          <w:rFonts w:hint="eastAsia" w:ascii="Times New Roman" w:hAnsi="Times New Roman" w:eastAsia="方正楷体简体" w:cs="方正楷体简体"/>
          <w:sz w:val="32"/>
          <w:szCs w:val="32"/>
          <w:lang w:eastAsia="zh-CN"/>
        </w:rPr>
        <w:t>特色畜牧业</w:t>
      </w:r>
      <w:bookmarkEnd w:id="94"/>
    </w:p>
    <w:p w14:paraId="2D5541F3">
      <w:pPr>
        <w:pStyle w:val="27"/>
        <w:overflowPunct w:val="0"/>
        <w:spacing w:line="576" w:lineRule="exact"/>
        <w:ind w:firstLine="640" w:firstLineChars="200"/>
        <w:jc w:val="both"/>
        <w:rPr>
          <w:rFonts w:ascii="Times New Roman" w:hAnsi="Times New Roman" w:eastAsia="方正仿宋简体" w:cs="方正仿宋简体"/>
          <w:bCs/>
          <w:sz w:val="32"/>
          <w:szCs w:val="28"/>
          <w:lang w:eastAsia="zh-CN"/>
        </w:rPr>
      </w:pPr>
      <w:r>
        <w:rPr>
          <w:rFonts w:ascii="Times New Roman" w:hAnsi="Times New Roman" w:eastAsia="方正仿宋简体" w:cs="方正仿宋简体"/>
          <w:bCs/>
          <w:sz w:val="32"/>
          <w:szCs w:val="28"/>
          <w:lang w:eastAsia="zh-CN"/>
        </w:rPr>
        <w:t>那曲作为全国五大牧区核心组成部分，全域可</w:t>
      </w:r>
      <w:bookmarkStart w:id="95" w:name="OLE_LINK66"/>
      <w:r>
        <w:rPr>
          <w:rFonts w:ascii="Times New Roman" w:hAnsi="Times New Roman" w:eastAsia="方正仿宋简体" w:cs="方正仿宋简体"/>
          <w:bCs/>
          <w:sz w:val="32"/>
          <w:szCs w:val="28"/>
          <w:lang w:eastAsia="zh-CN"/>
        </w:rPr>
        <w:t>利用草场面积</w:t>
      </w:r>
      <w:r>
        <w:rPr>
          <w:rFonts w:hint="eastAsia" w:ascii="Times New Roman" w:hAnsi="Times New Roman" w:eastAsia="方正仿宋简体" w:cs="方正仿宋简体"/>
          <w:bCs/>
          <w:sz w:val="32"/>
          <w:szCs w:val="28"/>
          <w:lang w:eastAsia="zh-CN"/>
        </w:rPr>
        <w:t>4.48</w:t>
      </w:r>
      <w:r>
        <w:rPr>
          <w:rFonts w:ascii="Times New Roman" w:hAnsi="Times New Roman" w:eastAsia="方正仿宋简体" w:cs="方正仿宋简体"/>
          <w:bCs/>
          <w:sz w:val="32"/>
          <w:szCs w:val="28"/>
          <w:lang w:eastAsia="zh-CN"/>
        </w:rPr>
        <w:t>亿亩</w:t>
      </w:r>
      <w:bookmarkEnd w:id="95"/>
      <w:r>
        <w:rPr>
          <w:rFonts w:ascii="Times New Roman" w:hAnsi="Times New Roman" w:eastAsia="方正仿宋简体" w:cs="方正仿宋简体"/>
          <w:bCs/>
          <w:sz w:val="32"/>
          <w:szCs w:val="28"/>
          <w:lang w:eastAsia="zh-CN"/>
        </w:rPr>
        <w:t>，牦牛、藏系绵羊存栏规模位居全区首位，是西藏高原畜产品核心供给基地。产业主营牦牛羊肉、酥油、鲜奶制品、高原绒毛等优质特色产品，培育</w:t>
      </w:r>
      <w:r>
        <w:rPr>
          <w:rFonts w:hint="eastAsia" w:ascii="Times New Roman" w:hAnsi="Times New Roman" w:eastAsia="方正仿宋简体" w:cs="方正仿宋简体"/>
          <w:bCs/>
          <w:sz w:val="32"/>
          <w:szCs w:val="28"/>
          <w:lang w:eastAsia="zh-CN"/>
        </w:rPr>
        <w:t>“</w:t>
      </w:r>
      <w:r>
        <w:rPr>
          <w:rFonts w:ascii="Times New Roman" w:hAnsi="Times New Roman" w:eastAsia="方正仿宋简体" w:cs="方正仿宋简体"/>
          <w:bCs/>
          <w:sz w:val="32"/>
          <w:szCs w:val="28"/>
          <w:lang w:eastAsia="zh-CN"/>
        </w:rPr>
        <w:t>羌塘</w:t>
      </w:r>
      <w:r>
        <w:rPr>
          <w:rFonts w:hint="eastAsia" w:ascii="Times New Roman" w:hAnsi="Times New Roman" w:eastAsia="方正仿宋简体" w:cs="方正仿宋简体"/>
          <w:bCs/>
          <w:sz w:val="32"/>
          <w:szCs w:val="28"/>
          <w:lang w:eastAsia="zh-CN"/>
        </w:rPr>
        <w:t>”</w:t>
      </w:r>
      <w:r>
        <w:rPr>
          <w:rFonts w:ascii="Times New Roman" w:hAnsi="Times New Roman" w:eastAsia="方正仿宋简体" w:cs="方正仿宋简体"/>
          <w:bCs/>
          <w:sz w:val="32"/>
          <w:szCs w:val="28"/>
          <w:lang w:eastAsia="zh-CN"/>
        </w:rPr>
        <w:t>区域公共品牌，聂荣嘎确牧场取得欧盟有机认证，班戈有机畜产品持续供应北上广深高端消费市场。全市立足广袤高寒草场资源与千年游牧养殖传统，统筹草畜平衡、产业提质双向目标，持续探索生态保护与畜牧产业协同发展路径。</w:t>
      </w:r>
    </w:p>
    <w:p w14:paraId="3ACFD26E">
      <w:pPr>
        <w:pStyle w:val="27"/>
        <w:overflowPunct w:val="0"/>
        <w:spacing w:line="576" w:lineRule="exact"/>
        <w:jc w:val="center"/>
        <w:rPr>
          <w:rFonts w:ascii="Times New Roman" w:hAnsi="Times New Roman" w:eastAsia="方正仿宋简体" w:cs="方正仿宋简体"/>
          <w:b/>
          <w:sz w:val="32"/>
          <w:szCs w:val="28"/>
          <w:lang w:eastAsia="zh-CN"/>
        </w:rPr>
      </w:pPr>
      <w:r>
        <w:rPr>
          <w:rFonts w:ascii="Times New Roman" w:hAnsi="Times New Roman" w:eastAsia="方正仿宋简体" w:cs="方正仿宋简体"/>
          <w:b/>
          <w:sz w:val="32"/>
          <w:szCs w:val="28"/>
          <w:lang w:eastAsia="zh-CN"/>
        </w:rPr>
        <w:t>高原特色畜牧业发展核心举措及成效一览表</w:t>
      </w:r>
    </w:p>
    <w:tbl>
      <w:tblPr>
        <w:tblStyle w:val="22"/>
        <w:tblW w:w="0" w:type="auto"/>
        <w:tblInd w:w="1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73"/>
        <w:gridCol w:w="2126"/>
        <w:gridCol w:w="4729"/>
      </w:tblGrid>
      <w:tr w14:paraId="37394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blHeader/>
        </w:trPr>
        <w:tc>
          <w:tcPr>
            <w:tcW w:w="1873" w:type="dxa"/>
            <w:vAlign w:val="center"/>
          </w:tcPr>
          <w:p w14:paraId="51C8A6EB">
            <w:pPr>
              <w:widowControl/>
              <w:spacing w:line="352" w:lineRule="exact"/>
              <w:jc w:val="center"/>
              <w:rPr>
                <w:rFonts w:ascii="Times New Roman" w:hAnsi="Times New Roman" w:eastAsia="方正仿宋简体" w:cs="方正仿宋简体"/>
                <w:b/>
                <w:sz w:val="24"/>
                <w:szCs w:val="24"/>
                <w:lang w:eastAsia="zh-CN"/>
              </w:rPr>
            </w:pPr>
            <w:r>
              <w:rPr>
                <w:rFonts w:ascii="Times New Roman" w:hAnsi="Times New Roman" w:eastAsia="方正仿宋简体" w:cs="方正仿宋简体"/>
                <w:b/>
                <w:sz w:val="24"/>
                <w:szCs w:val="24"/>
                <w:lang w:eastAsia="zh-CN"/>
              </w:rPr>
              <w:t>分析维度</w:t>
            </w:r>
          </w:p>
        </w:tc>
        <w:tc>
          <w:tcPr>
            <w:tcW w:w="2126" w:type="dxa"/>
            <w:vAlign w:val="center"/>
          </w:tcPr>
          <w:p w14:paraId="19B860DC">
            <w:pPr>
              <w:widowControl/>
              <w:spacing w:line="352"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核心策略</w:t>
            </w:r>
          </w:p>
        </w:tc>
        <w:tc>
          <w:tcPr>
            <w:tcW w:w="4729" w:type="dxa"/>
            <w:vAlign w:val="center"/>
          </w:tcPr>
          <w:p w14:paraId="5168A971">
            <w:pPr>
              <w:widowControl/>
              <w:spacing w:line="352"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具体做法与成效</w:t>
            </w:r>
          </w:p>
        </w:tc>
      </w:tr>
      <w:tr w14:paraId="0F06B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atLeast"/>
        </w:trPr>
        <w:tc>
          <w:tcPr>
            <w:tcW w:w="1873" w:type="dxa"/>
            <w:vAlign w:val="center"/>
          </w:tcPr>
          <w:p w14:paraId="2B3A2C1E">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资源基底建设</w:t>
            </w:r>
          </w:p>
        </w:tc>
        <w:tc>
          <w:tcPr>
            <w:tcW w:w="2126" w:type="dxa"/>
            <w:vAlign w:val="center"/>
          </w:tcPr>
          <w:p w14:paraId="71BB45E6">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统筹草场科学管护与集约利用</w:t>
            </w:r>
          </w:p>
        </w:tc>
        <w:tc>
          <w:tcPr>
            <w:tcW w:w="4729" w:type="dxa"/>
            <w:vAlign w:val="center"/>
          </w:tcPr>
          <w:p w14:paraId="387581F0">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全市可利用草场</w:t>
            </w:r>
            <w:r>
              <w:rPr>
                <w:rFonts w:hint="eastAsia" w:ascii="Times New Roman" w:hAnsi="Times New Roman" w:eastAsia="方正仿宋简体" w:cs="方正仿宋简体"/>
                <w:bCs/>
                <w:sz w:val="21"/>
                <w:szCs w:val="21"/>
                <w:lang w:eastAsia="zh-CN"/>
              </w:rPr>
              <w:t>4.48</w:t>
            </w:r>
            <w:r>
              <w:rPr>
                <w:rFonts w:ascii="Times New Roman" w:hAnsi="Times New Roman" w:eastAsia="方正仿宋简体" w:cs="方正仿宋简体"/>
                <w:bCs/>
                <w:sz w:val="21"/>
                <w:szCs w:val="21"/>
                <w:lang w:eastAsia="zh-CN"/>
              </w:rPr>
              <w:t>亿亩，</w:t>
            </w:r>
            <w:r>
              <w:rPr>
                <w:rFonts w:hint="eastAsia" w:ascii="Times New Roman" w:hAnsi="Times New Roman" w:eastAsia="方正仿宋简体" w:cs="方正仿宋简体"/>
                <w:bCs/>
                <w:sz w:val="21"/>
                <w:szCs w:val="21"/>
                <w:lang w:eastAsia="zh-CN"/>
              </w:rPr>
              <w:t>第四轮</w:t>
            </w:r>
            <w:r>
              <w:rPr>
                <w:rFonts w:ascii="Times New Roman" w:hAnsi="Times New Roman" w:eastAsia="方正仿宋简体" w:cs="方正仿宋简体"/>
                <w:bCs/>
                <w:sz w:val="21"/>
                <w:szCs w:val="21"/>
                <w:lang w:eastAsia="zh-CN"/>
              </w:rPr>
              <w:t>核定载畜量1</w:t>
            </w:r>
            <w:r>
              <w:rPr>
                <w:rFonts w:hint="eastAsia" w:ascii="Times New Roman" w:hAnsi="Times New Roman" w:eastAsia="方正仿宋简体" w:cs="方正仿宋简体"/>
                <w:bCs/>
                <w:sz w:val="21"/>
                <w:szCs w:val="21"/>
                <w:lang w:eastAsia="zh-CN"/>
              </w:rPr>
              <w:t>526.95</w:t>
            </w:r>
            <w:r>
              <w:rPr>
                <w:rFonts w:ascii="Times New Roman" w:hAnsi="Times New Roman" w:eastAsia="方正仿宋简体" w:cs="方正仿宋简体"/>
                <w:bCs/>
                <w:sz w:val="21"/>
                <w:szCs w:val="21"/>
                <w:lang w:eastAsia="zh-CN"/>
              </w:rPr>
              <w:t>万个绵羊单位，筑牢高原畜牧发展核心资源底盘。</w:t>
            </w:r>
          </w:p>
        </w:tc>
      </w:tr>
      <w:tr w14:paraId="6C1C4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2" w:hRule="atLeast"/>
        </w:trPr>
        <w:tc>
          <w:tcPr>
            <w:tcW w:w="1873" w:type="dxa"/>
            <w:vAlign w:val="center"/>
          </w:tcPr>
          <w:p w14:paraId="0FCA8326">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生态绿色养殖</w:t>
            </w:r>
          </w:p>
        </w:tc>
        <w:tc>
          <w:tcPr>
            <w:tcW w:w="2126" w:type="dxa"/>
            <w:vAlign w:val="center"/>
          </w:tcPr>
          <w:p w14:paraId="6715F4EF">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推行草畜平衡循环发展模式</w:t>
            </w:r>
          </w:p>
        </w:tc>
        <w:tc>
          <w:tcPr>
            <w:tcW w:w="4729" w:type="dxa"/>
            <w:vAlign w:val="center"/>
          </w:tcPr>
          <w:p w14:paraId="50627480">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落实四季轮牧、三季休牧、草场有序流转制度，出台反季节出栏奖补政策，倒逼草场休养生息，夯实可持续发展根基。</w:t>
            </w:r>
          </w:p>
        </w:tc>
      </w:tr>
      <w:tr w14:paraId="49F66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2" w:hRule="atLeast"/>
        </w:trPr>
        <w:tc>
          <w:tcPr>
            <w:tcW w:w="1873" w:type="dxa"/>
            <w:vAlign w:val="center"/>
          </w:tcPr>
          <w:p w14:paraId="12D4B523">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科技赋能增效</w:t>
            </w:r>
          </w:p>
        </w:tc>
        <w:tc>
          <w:tcPr>
            <w:tcW w:w="2126" w:type="dxa"/>
            <w:vAlign w:val="center"/>
          </w:tcPr>
          <w:p w14:paraId="0535CB79">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良种繁育、饲草改良技术集成推广</w:t>
            </w:r>
          </w:p>
        </w:tc>
        <w:tc>
          <w:tcPr>
            <w:tcW w:w="4729" w:type="dxa"/>
            <w:vAlign w:val="center"/>
          </w:tcPr>
          <w:p w14:paraId="7BCB8691">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常态化开展耐寒牧草筛选繁育，全市年人工种草10万余亩；攻关牦牛高效繁育技术，将牦牛首次产犊年龄由5岁缩短至2.5岁，养殖产出效能大幅提升。</w:t>
            </w:r>
          </w:p>
        </w:tc>
      </w:tr>
      <w:tr w14:paraId="3DADD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1873" w:type="dxa"/>
            <w:vAlign w:val="center"/>
          </w:tcPr>
          <w:p w14:paraId="0E308555">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经营主体培育</w:t>
            </w:r>
          </w:p>
        </w:tc>
        <w:tc>
          <w:tcPr>
            <w:tcW w:w="2126" w:type="dxa"/>
            <w:vAlign w:val="center"/>
          </w:tcPr>
          <w:p w14:paraId="7677C420">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构建多层次产业组织体系</w:t>
            </w:r>
          </w:p>
        </w:tc>
        <w:tc>
          <w:tcPr>
            <w:tcW w:w="4729" w:type="dxa"/>
            <w:vAlign w:val="center"/>
          </w:tcPr>
          <w:p w14:paraId="6BABECF1">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建成国家级农牧业产业园，梯度培育自治区、市级龙头企业，发展各级农牧专业合作社、家庭牧场，形成全链条经营发展格局。</w:t>
            </w:r>
          </w:p>
        </w:tc>
      </w:tr>
      <w:tr w14:paraId="56D2C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3" w:hRule="atLeast"/>
        </w:trPr>
        <w:tc>
          <w:tcPr>
            <w:tcW w:w="1873" w:type="dxa"/>
            <w:vAlign w:val="center"/>
          </w:tcPr>
          <w:p w14:paraId="519E91D3">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品牌市场开拓</w:t>
            </w:r>
          </w:p>
        </w:tc>
        <w:tc>
          <w:tcPr>
            <w:tcW w:w="2126" w:type="dxa"/>
            <w:vAlign w:val="center"/>
          </w:tcPr>
          <w:p w14:paraId="4B4D3168">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全域特色品牌培育，多元渠道拓销</w:t>
            </w:r>
          </w:p>
        </w:tc>
        <w:tc>
          <w:tcPr>
            <w:tcW w:w="4729" w:type="dxa"/>
            <w:vAlign w:val="center"/>
          </w:tcPr>
          <w:p w14:paraId="6B6D2FE1">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打造</w:t>
            </w:r>
            <w:r>
              <w:rPr>
                <w:rFonts w:hint="eastAsia" w:ascii="Times New Roman" w:hAnsi="Times New Roman" w:eastAsia="方正仿宋简体" w:cs="方正仿宋简体"/>
                <w:bCs/>
                <w:sz w:val="21"/>
                <w:szCs w:val="21"/>
                <w:lang w:eastAsia="zh-CN"/>
              </w:rPr>
              <w:t>“</w:t>
            </w:r>
            <w:r>
              <w:rPr>
                <w:rFonts w:ascii="Times New Roman" w:hAnsi="Times New Roman" w:eastAsia="方正仿宋简体" w:cs="方正仿宋简体"/>
                <w:bCs/>
                <w:sz w:val="21"/>
                <w:szCs w:val="21"/>
                <w:lang w:eastAsia="zh-CN"/>
              </w:rPr>
              <w:t>嘎尔德”</w:t>
            </w:r>
            <w:r>
              <w:rPr>
                <w:rFonts w:hint="eastAsia" w:ascii="Times New Roman" w:hAnsi="Times New Roman" w:eastAsia="方正仿宋简体" w:cs="方正仿宋简体"/>
                <w:bCs/>
                <w:sz w:val="21"/>
                <w:szCs w:val="21"/>
                <w:lang w:eastAsia="zh-CN"/>
              </w:rPr>
              <w:t>“嘎确”“甲岗拉姆”</w:t>
            </w:r>
            <w:r>
              <w:rPr>
                <w:rFonts w:ascii="Times New Roman" w:hAnsi="Times New Roman" w:eastAsia="方正仿宋简体" w:cs="方正仿宋简体"/>
                <w:bCs/>
                <w:sz w:val="21"/>
                <w:szCs w:val="21"/>
                <w:lang w:eastAsia="zh-CN"/>
              </w:rPr>
              <w:t>区域子品牌，持有</w:t>
            </w:r>
            <w:r>
              <w:rPr>
                <w:rFonts w:hint="eastAsia" w:ascii="Times New Roman" w:hAnsi="Times New Roman" w:eastAsia="方正仿宋简体" w:cs="方正仿宋简体"/>
                <w:bCs/>
                <w:sz w:val="21"/>
                <w:szCs w:val="21"/>
                <w:lang w:val="en-US" w:eastAsia="zh-CN"/>
              </w:rPr>
              <w:t>那曲冬虫夏草</w:t>
            </w:r>
            <w:r>
              <w:rPr>
                <w:rFonts w:ascii="Times New Roman" w:hAnsi="Times New Roman" w:eastAsia="方正仿宋简体" w:cs="方正仿宋简体"/>
                <w:bCs/>
                <w:sz w:val="21"/>
                <w:szCs w:val="21"/>
                <w:lang w:eastAsia="zh-CN"/>
              </w:rPr>
              <w:t>、牦牛系列地理标志产品；依托电商平台、线下展销拓宽销路，2024年以来全市肉奶类特色畜产品销售额突破3亿元。</w:t>
            </w:r>
          </w:p>
        </w:tc>
      </w:tr>
    </w:tbl>
    <w:p w14:paraId="6F39374C">
      <w:pPr>
        <w:pStyle w:val="27"/>
        <w:overflowPunct w:val="0"/>
        <w:spacing w:line="576" w:lineRule="exact"/>
        <w:ind w:firstLine="640" w:firstLineChars="200"/>
        <w:jc w:val="both"/>
        <w:rPr>
          <w:rFonts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那曲</w:t>
      </w:r>
      <w:r>
        <w:rPr>
          <w:rFonts w:ascii="Times New Roman" w:hAnsi="Times New Roman" w:eastAsia="方正仿宋简体" w:cs="方正仿宋简体"/>
          <w:bCs/>
          <w:sz w:val="32"/>
          <w:szCs w:val="28"/>
          <w:lang w:val="en-US" w:eastAsia="zh-CN"/>
        </w:rPr>
        <w:t>市高原特色畜牧业发展始终坚守生态和经济效益双赢导向，核心实践路径分为两大板块：</w:t>
      </w:r>
    </w:p>
    <w:p w14:paraId="010B603D">
      <w:pPr>
        <w:pStyle w:val="27"/>
        <w:overflowPunct w:val="0"/>
        <w:spacing w:line="576" w:lineRule="exact"/>
        <w:ind w:firstLine="643" w:firstLineChars="200"/>
        <w:jc w:val="both"/>
        <w:rPr>
          <w:rFonts w:ascii="Times New Roman" w:hAnsi="Times New Roman" w:eastAsia="方正仿宋简体" w:cs="方正仿宋简体"/>
          <w:bCs/>
          <w:sz w:val="32"/>
          <w:szCs w:val="28"/>
          <w:lang w:val="en-US" w:eastAsia="zh-CN"/>
        </w:rPr>
      </w:pPr>
      <w:r>
        <w:rPr>
          <w:rFonts w:ascii="Times New Roman" w:hAnsi="Times New Roman" w:eastAsia="方正仿宋简体" w:cs="方正仿宋简体"/>
          <w:b/>
          <w:sz w:val="32"/>
          <w:szCs w:val="28"/>
          <w:lang w:val="en-US" w:eastAsia="zh-CN"/>
        </w:rPr>
        <w:t>一是</w:t>
      </w:r>
      <w:r>
        <w:rPr>
          <w:rFonts w:ascii="Times New Roman" w:hAnsi="Times New Roman" w:eastAsia="方正仿宋简体" w:cs="方正仿宋简体"/>
          <w:bCs/>
          <w:sz w:val="32"/>
          <w:szCs w:val="28"/>
          <w:lang w:val="en-US" w:eastAsia="zh-CN"/>
        </w:rPr>
        <w:t>落地系列生态管控实操举措。严格践行生态优先发展准则，全面推行牧草返青期休牧、放牧结合补饲模式，统筹实施畜群结构优化、科学出栏调控、饲草保障提升</w:t>
      </w:r>
      <w:r>
        <w:rPr>
          <w:rFonts w:hint="eastAsia" w:ascii="Times New Roman" w:hAnsi="Times New Roman" w:eastAsia="方正仿宋简体" w:cs="方正仿宋简体"/>
          <w:bCs/>
          <w:sz w:val="32"/>
          <w:szCs w:val="28"/>
          <w:lang w:val="en-US" w:eastAsia="zh-CN"/>
        </w:rPr>
        <w:t>“</w:t>
      </w:r>
      <w:r>
        <w:rPr>
          <w:rFonts w:ascii="Times New Roman" w:hAnsi="Times New Roman" w:eastAsia="方正仿宋简体" w:cs="方正仿宋简体"/>
          <w:bCs/>
          <w:sz w:val="32"/>
          <w:szCs w:val="28"/>
          <w:lang w:val="en-US" w:eastAsia="zh-CN"/>
        </w:rPr>
        <w:t>三链协同</w:t>
      </w:r>
      <w:r>
        <w:rPr>
          <w:rFonts w:hint="eastAsia" w:ascii="Times New Roman" w:hAnsi="Times New Roman" w:eastAsia="方正仿宋简体" w:cs="方正仿宋简体"/>
          <w:bCs/>
          <w:sz w:val="32"/>
          <w:szCs w:val="28"/>
          <w:lang w:val="en-US" w:eastAsia="zh-CN"/>
        </w:rPr>
        <w:t>”</w:t>
      </w:r>
      <w:r>
        <w:rPr>
          <w:rFonts w:ascii="Times New Roman" w:hAnsi="Times New Roman" w:eastAsia="方正仿宋简体" w:cs="方正仿宋简体"/>
          <w:bCs/>
          <w:sz w:val="32"/>
          <w:szCs w:val="28"/>
          <w:lang w:val="en-US" w:eastAsia="zh-CN"/>
        </w:rPr>
        <w:t>工程，配套专项扶持资金普惠广大农牧民，逐步形成畜群结构合理、出栏机制灵活、饲草供给稳定的良性草畜循环格局。</w:t>
      </w:r>
    </w:p>
    <w:p w14:paraId="2C77C0EE">
      <w:pPr>
        <w:pStyle w:val="27"/>
        <w:overflowPunct w:val="0"/>
        <w:spacing w:line="576" w:lineRule="exact"/>
        <w:ind w:firstLine="643" w:firstLineChars="200"/>
        <w:jc w:val="both"/>
        <w:rPr>
          <w:rFonts w:ascii="Times New Roman" w:hAnsi="Times New Roman" w:eastAsia="方正仿宋简体" w:cs="方正仿宋简体"/>
          <w:bCs/>
          <w:sz w:val="32"/>
          <w:szCs w:val="28"/>
          <w:lang w:eastAsia="zh-CN"/>
        </w:rPr>
      </w:pPr>
      <w:r>
        <w:rPr>
          <w:rFonts w:ascii="Times New Roman" w:hAnsi="Times New Roman" w:eastAsia="方正仿宋简体" w:cs="方正仿宋简体"/>
          <w:b/>
          <w:sz w:val="32"/>
          <w:szCs w:val="28"/>
          <w:lang w:val="en-US" w:eastAsia="zh-CN"/>
        </w:rPr>
        <w:t>二是</w:t>
      </w:r>
      <w:r>
        <w:rPr>
          <w:rFonts w:ascii="Times New Roman" w:hAnsi="Times New Roman" w:eastAsia="方正仿宋简体" w:cs="方正仿宋简体"/>
          <w:bCs/>
          <w:sz w:val="32"/>
          <w:szCs w:val="28"/>
          <w:lang w:val="en-US" w:eastAsia="zh-CN"/>
        </w:rPr>
        <w:t>强化科技全链条赋能。持续开展高寒适配牧草引种、示范种植，示范片区鲜草产能实现大幅提升；深耕娘亚牦牛等本土优良种质资源保护改良，同步推进矮脚牦牛特色品系研发；延伸产业链条，研发牦牛骨钙咀嚼片等精深加工产品，持续提升畜产品附加值，推动畜牧产业由初级原料输出向高价值成品供给转型。</w:t>
      </w:r>
    </w:p>
    <w:p w14:paraId="093129DB">
      <w:pPr>
        <w:pStyle w:val="8"/>
        <w:overflowPunct w:val="0"/>
        <w:topLinePunct/>
        <w:autoSpaceDE/>
        <w:autoSpaceDN/>
        <w:spacing w:before="0" w:line="576" w:lineRule="exact"/>
        <w:ind w:left="0" w:firstLine="640" w:firstLineChars="200"/>
        <w:jc w:val="both"/>
        <w:outlineLvl w:val="1"/>
        <w:rPr>
          <w:rFonts w:ascii="Times New Roman" w:hAnsi="Times New Roman" w:eastAsia="方正楷体简体" w:cs="方正仿宋简体"/>
          <w:sz w:val="32"/>
          <w:szCs w:val="32"/>
        </w:rPr>
      </w:pPr>
      <w:bookmarkStart w:id="96" w:name="_Toc243241425"/>
      <w:bookmarkStart w:id="97" w:name="_Toc212558089"/>
      <w:bookmarkStart w:id="98" w:name="_Toc218422248"/>
      <w:r>
        <w:rPr>
          <w:rFonts w:hint="eastAsia" w:ascii="Times New Roman" w:hAnsi="Times New Roman" w:eastAsia="方正楷体简体" w:cs="方正仿宋简体"/>
          <w:sz w:val="32"/>
          <w:szCs w:val="32"/>
          <w:lang w:eastAsia="zh-CN"/>
        </w:rPr>
        <w:t>（</w:t>
      </w:r>
      <w:r>
        <w:rPr>
          <w:rFonts w:hint="eastAsia" w:ascii="Times New Roman" w:hAnsi="Times New Roman" w:eastAsia="方正楷体简体" w:cs="方正仿宋简体"/>
          <w:sz w:val="32"/>
          <w:szCs w:val="32"/>
        </w:rPr>
        <w:t>二</w:t>
      </w:r>
      <w:r>
        <w:rPr>
          <w:rFonts w:hint="eastAsia" w:ascii="Times New Roman" w:hAnsi="Times New Roman" w:eastAsia="方正楷体简体" w:cs="方正仿宋简体"/>
          <w:sz w:val="32"/>
          <w:szCs w:val="32"/>
          <w:lang w:eastAsia="zh-CN"/>
        </w:rPr>
        <w:t>）</w:t>
      </w:r>
      <w:r>
        <w:rPr>
          <w:rFonts w:hint="eastAsia" w:ascii="Times New Roman" w:hAnsi="Times New Roman" w:eastAsia="方正楷体简体" w:cs="方正楷体简体"/>
          <w:sz w:val="32"/>
          <w:szCs w:val="32"/>
          <w:lang w:eastAsia="zh-CN"/>
        </w:rPr>
        <w:t>藏医药</w:t>
      </w:r>
      <w:r>
        <w:rPr>
          <w:rFonts w:hint="eastAsia" w:ascii="Times New Roman" w:hAnsi="Times New Roman" w:eastAsia="方正楷体简体" w:cs="方正仿宋简体"/>
          <w:sz w:val="32"/>
          <w:szCs w:val="32"/>
        </w:rPr>
        <w:t>产业</w:t>
      </w:r>
      <w:bookmarkEnd w:id="96"/>
      <w:bookmarkEnd w:id="97"/>
      <w:bookmarkEnd w:id="98"/>
    </w:p>
    <w:p w14:paraId="3E1F68CC">
      <w:pPr>
        <w:pStyle w:val="27"/>
        <w:overflowPunct w:val="0"/>
        <w:spacing w:line="576" w:lineRule="exact"/>
        <w:ind w:firstLine="640" w:firstLineChars="200"/>
        <w:jc w:val="both"/>
        <w:rPr>
          <w:rFonts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那曲</w:t>
      </w:r>
      <w:r>
        <w:rPr>
          <w:rFonts w:ascii="Times New Roman" w:hAnsi="Times New Roman" w:eastAsia="方正仿宋简体" w:cs="方正仿宋简体"/>
          <w:bCs/>
          <w:sz w:val="32"/>
          <w:szCs w:val="28"/>
          <w:lang w:eastAsia="zh-CN"/>
        </w:rPr>
        <w:t>市地处羌塘高原核心区域，高寒纯净的独特生态环境孕育了品质优良、资源富集的高原道地藏药材，</w:t>
      </w:r>
      <w:r>
        <w:rPr>
          <w:rFonts w:hint="eastAsia" w:ascii="Times New Roman" w:hAnsi="Times New Roman" w:eastAsia="方正仿宋简体" w:cs="方正仿宋简体"/>
          <w:bCs/>
          <w:sz w:val="32"/>
          <w:szCs w:val="28"/>
          <w:lang w:val="en-US" w:eastAsia="zh-CN"/>
        </w:rPr>
        <w:t>那曲</w:t>
      </w:r>
      <w:r>
        <w:rPr>
          <w:rFonts w:ascii="Times New Roman" w:hAnsi="Times New Roman" w:eastAsia="方正仿宋简体" w:cs="方正仿宋简体"/>
          <w:bCs/>
          <w:sz w:val="32"/>
          <w:szCs w:val="28"/>
          <w:lang w:eastAsia="zh-CN"/>
        </w:rPr>
        <w:t>冬虫夏草、藏贝母、雪莲花、红景天等珍稀药材储量丰富，其中那曲冬虫夏草品质稀缺、市场认可度高，是全市最具代表性的特色资源名片。依托得天独厚的药材资源禀赋与深厚的藏医药传承底蕴，全市持续推进藏医药标准化生产、规范化服务、产业化融合、绿色化发展，推动传统藏医药从民间作坊式发展向现代产业体系转型升级，产业综合效益、公共服务能力、富民带动作用持续增强。</w:t>
      </w:r>
    </w:p>
    <w:p w14:paraId="56043F13">
      <w:pPr>
        <w:overflowPunct w:val="0"/>
        <w:spacing w:line="576" w:lineRule="exact"/>
        <w:jc w:val="center"/>
        <w:rPr>
          <w:rFonts w:ascii="Times New Roman" w:hAnsi="Times New Roman" w:eastAsia="方正仿宋简体" w:cs="方正仿宋简体"/>
          <w:b/>
          <w:sz w:val="32"/>
          <w:szCs w:val="32"/>
          <w:lang w:eastAsia="zh-CN"/>
        </w:rPr>
      </w:pPr>
      <w:r>
        <w:rPr>
          <w:rFonts w:ascii="Times New Roman" w:hAnsi="Times New Roman" w:eastAsia="方正仿宋简体" w:cs="方正仿宋简体"/>
          <w:b/>
          <w:sz w:val="32"/>
          <w:szCs w:val="32"/>
          <w:lang w:eastAsia="zh-CN"/>
        </w:rPr>
        <w:t>藏医药</w:t>
      </w:r>
      <w:bookmarkStart w:id="99" w:name="OLE_LINK1"/>
      <w:r>
        <w:rPr>
          <w:rFonts w:ascii="Times New Roman" w:hAnsi="Times New Roman" w:eastAsia="方正仿宋简体" w:cs="方正仿宋简体"/>
          <w:b/>
          <w:sz w:val="32"/>
          <w:szCs w:val="32"/>
          <w:lang w:eastAsia="zh-CN"/>
        </w:rPr>
        <w:t>产业发展核心举措及成效一览表</w:t>
      </w:r>
      <w:bookmarkEnd w:id="99"/>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0"/>
        <w:gridCol w:w="1848"/>
        <w:gridCol w:w="5711"/>
      </w:tblGrid>
      <w:tr w14:paraId="61332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blHeader/>
        </w:trPr>
        <w:tc>
          <w:tcPr>
            <w:tcW w:w="1260" w:type="dxa"/>
            <w:vAlign w:val="top"/>
          </w:tcPr>
          <w:p w14:paraId="7BF49FB4">
            <w:pPr>
              <w:widowControl/>
              <w:spacing w:line="352" w:lineRule="exact"/>
              <w:jc w:val="center"/>
              <w:rPr>
                <w:rFonts w:ascii="Times New Roman" w:hAnsi="Times New Roman" w:eastAsia="方正仿宋简体" w:cs="方正仿宋简体"/>
                <w:b/>
                <w:sz w:val="24"/>
                <w:szCs w:val="24"/>
                <w:lang w:eastAsia="zh-CN"/>
              </w:rPr>
            </w:pPr>
            <w:r>
              <w:rPr>
                <w:rFonts w:ascii="Times New Roman" w:hAnsi="Times New Roman" w:eastAsia="方正仿宋简体" w:cs="方正仿宋简体"/>
                <w:b/>
                <w:sz w:val="24"/>
                <w:szCs w:val="24"/>
                <w:lang w:eastAsia="zh-CN"/>
              </w:rPr>
              <w:t>分析维度</w:t>
            </w:r>
          </w:p>
        </w:tc>
        <w:tc>
          <w:tcPr>
            <w:tcW w:w="1848" w:type="dxa"/>
            <w:vAlign w:val="top"/>
          </w:tcPr>
          <w:p w14:paraId="729FBA7E">
            <w:pPr>
              <w:widowControl/>
              <w:spacing w:line="352" w:lineRule="exact"/>
              <w:jc w:val="center"/>
              <w:rPr>
                <w:rFonts w:ascii="Times New Roman" w:hAnsi="Times New Roman" w:eastAsia="方正仿宋简体" w:cs="方正仿宋简体"/>
                <w:b/>
                <w:sz w:val="24"/>
                <w:szCs w:val="24"/>
                <w:lang w:eastAsia="zh-CN"/>
              </w:rPr>
            </w:pPr>
            <w:r>
              <w:rPr>
                <w:rFonts w:ascii="Times New Roman" w:hAnsi="Times New Roman" w:eastAsia="方正仿宋简体" w:cs="方正仿宋简体"/>
                <w:b/>
                <w:sz w:val="24"/>
                <w:szCs w:val="24"/>
                <w:lang w:eastAsia="zh-CN"/>
              </w:rPr>
              <w:t>核心实施策略</w:t>
            </w:r>
          </w:p>
        </w:tc>
        <w:tc>
          <w:tcPr>
            <w:tcW w:w="5711" w:type="dxa"/>
            <w:vAlign w:val="top"/>
          </w:tcPr>
          <w:p w14:paraId="74C26895">
            <w:pPr>
              <w:widowControl/>
              <w:spacing w:line="352" w:lineRule="exact"/>
              <w:jc w:val="center"/>
              <w:rPr>
                <w:rFonts w:ascii="Times New Roman" w:hAnsi="Times New Roman" w:eastAsia="方正仿宋简体" w:cs="方正仿宋简体"/>
                <w:b/>
                <w:sz w:val="24"/>
                <w:szCs w:val="24"/>
                <w:lang w:eastAsia="zh-CN"/>
              </w:rPr>
            </w:pPr>
            <w:r>
              <w:rPr>
                <w:rFonts w:ascii="Times New Roman" w:hAnsi="Times New Roman" w:eastAsia="方正仿宋简体" w:cs="方正仿宋简体"/>
                <w:b/>
                <w:sz w:val="24"/>
                <w:szCs w:val="24"/>
                <w:lang w:eastAsia="zh-CN"/>
              </w:rPr>
              <w:t>落地举措与发展成效</w:t>
            </w:r>
          </w:p>
        </w:tc>
      </w:tr>
      <w:tr w14:paraId="4814F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3" w:hRule="atLeast"/>
        </w:trPr>
        <w:tc>
          <w:tcPr>
            <w:tcW w:w="1260" w:type="dxa"/>
            <w:vAlign w:val="center"/>
          </w:tcPr>
          <w:p w14:paraId="01DB2EBB">
            <w:pPr>
              <w:widowControl/>
              <w:spacing w:line="270" w:lineRule="exact"/>
              <w:jc w:val="center"/>
              <w:rPr>
                <w:rFonts w:hint="eastAsia"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val="en-US" w:eastAsia="zh-CN"/>
              </w:rPr>
              <w:t>资源基底建设</w:t>
            </w:r>
          </w:p>
        </w:tc>
        <w:tc>
          <w:tcPr>
            <w:tcW w:w="1848" w:type="dxa"/>
            <w:vAlign w:val="center"/>
          </w:tcPr>
          <w:p w14:paraId="509C7A6C">
            <w:pPr>
              <w:widowControl/>
              <w:spacing w:line="270" w:lineRule="exact"/>
              <w:jc w:val="both"/>
              <w:rPr>
                <w:rFonts w:hint="eastAsia"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强化道地药材资源保育与有序利用，夯实产业发展原料根基。</w:t>
            </w:r>
          </w:p>
          <w:p w14:paraId="1E116DCF">
            <w:pPr>
              <w:widowControl/>
              <w:spacing w:line="270" w:lineRule="exact"/>
              <w:jc w:val="both"/>
              <w:rPr>
                <w:rFonts w:hint="eastAsia" w:ascii="Times New Roman" w:hAnsi="Times New Roman" w:eastAsia="方正仿宋简体" w:cs="方正仿宋简体"/>
                <w:bCs/>
                <w:sz w:val="21"/>
                <w:szCs w:val="21"/>
                <w:lang w:val="en-US" w:eastAsia="zh-CN"/>
              </w:rPr>
            </w:pPr>
          </w:p>
        </w:tc>
        <w:tc>
          <w:tcPr>
            <w:tcW w:w="5711" w:type="dxa"/>
            <w:vAlign w:val="center"/>
          </w:tcPr>
          <w:p w14:paraId="1DAE7040">
            <w:pPr>
              <w:widowControl/>
              <w:spacing w:line="270" w:lineRule="exact"/>
              <w:jc w:val="both"/>
              <w:rPr>
                <w:rFonts w:hint="eastAsia"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立足那曲高原独有藏药材资源优势，科学划定高山藏药材专属保护区域，严格规范野生药材采挖管控标准，杜绝滥采滥挖现象。大力推广道地药材生态抚育、规范化规模化种植模式，依托藏医药龙头企业、重点医疗机构开展野生药材保育、良种培育等核心技术研究，构建可持续的药材供给体系，全方位筑牢藏医药产业长效健康发展的资源根基。</w:t>
            </w:r>
          </w:p>
        </w:tc>
      </w:tr>
      <w:tr w14:paraId="2828D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trPr>
        <w:tc>
          <w:tcPr>
            <w:tcW w:w="1260" w:type="dxa"/>
            <w:vAlign w:val="center"/>
          </w:tcPr>
          <w:p w14:paraId="674B2A18">
            <w:pPr>
              <w:widowControl/>
              <w:spacing w:line="270" w:lineRule="exact"/>
              <w:jc w:val="center"/>
              <w:rPr>
                <w:rFonts w:hint="eastAsia"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产业提质升级</w:t>
            </w:r>
          </w:p>
        </w:tc>
        <w:tc>
          <w:tcPr>
            <w:tcW w:w="1848" w:type="dxa"/>
            <w:vAlign w:val="center"/>
          </w:tcPr>
          <w:p w14:paraId="499ACEB5">
            <w:pPr>
              <w:widowControl/>
              <w:spacing w:line="270" w:lineRule="exact"/>
              <w:jc w:val="both"/>
              <w:rPr>
                <w:rFonts w:hint="eastAsia"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val="en-US" w:eastAsia="zh-CN"/>
              </w:rPr>
              <w:t>推进藏医药生产标准化、现代化、规范化改造，完善制剂资质体系，壮大产业产值规模，打造县域特色产业样板。</w:t>
            </w:r>
          </w:p>
          <w:p w14:paraId="52F8D67C">
            <w:pPr>
              <w:widowControl/>
              <w:spacing w:line="270" w:lineRule="exact"/>
              <w:jc w:val="both"/>
              <w:rPr>
                <w:rFonts w:hint="eastAsia" w:ascii="Times New Roman" w:hAnsi="Times New Roman" w:eastAsia="方正仿宋简体" w:cs="方正仿宋简体"/>
                <w:bCs/>
                <w:sz w:val="21"/>
                <w:szCs w:val="21"/>
                <w:lang w:val="en-US" w:eastAsia="zh-CN"/>
              </w:rPr>
            </w:pPr>
          </w:p>
        </w:tc>
        <w:tc>
          <w:tcPr>
            <w:tcW w:w="5711" w:type="dxa"/>
            <w:vAlign w:val="center"/>
          </w:tcPr>
          <w:p w14:paraId="2F493FFE">
            <w:pPr>
              <w:widowControl/>
              <w:spacing w:line="270" w:lineRule="exact"/>
              <w:jc w:val="both"/>
              <w:rPr>
                <w:rFonts w:hint="eastAsia"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val="en-US" w:eastAsia="zh-CN"/>
              </w:rPr>
              <w:t>全域推进藏医药制剂室提档升级与标准化改造，申扎县藏医院制剂室投入1100余万元完成标准化改造，成功取得《医疗机构制剂许可证》，可生产注册藏药64种，包含5种那曲独有特色制剂，彻底摒弃传统作坊式粗放生产模式。全市藏医药资质体系持续完善，现有制剂备案品种432个、国药准字号品种27个，其中市藏医院完成制剂备案147种，嘉黎县藏医院制剂室备案143种、常态化生产136个品种，熟练掌握水银洗炼“佐台”核心炮制工艺。产业产值稳步增长，2025年全市藏医药总产值1587万元，市藏医院制剂室产值1658万元；嘉黎县藏医院制剂室年产制剂3295.27公斤、年产值273.08万元，全县藏医药全产业链产值突破6800万元。同时推行县域差异化标准化建设，申扎县打造西部特色藏药生产基地，嘉黎县建成精品制剂传承示范阵地，拥有国家级藏药临床药学重点专科，自研多款高原特色制剂，搭建全流程质量管控体系，成为全市县级藏药规范化发展标杆。</w:t>
            </w:r>
          </w:p>
        </w:tc>
      </w:tr>
      <w:tr w14:paraId="0E0B4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2" w:hRule="atLeast"/>
        </w:trPr>
        <w:tc>
          <w:tcPr>
            <w:tcW w:w="1260" w:type="dxa"/>
            <w:vAlign w:val="center"/>
          </w:tcPr>
          <w:p w14:paraId="40ECDC39">
            <w:pPr>
              <w:widowControl/>
              <w:spacing w:line="270" w:lineRule="exact"/>
              <w:jc w:val="center"/>
              <w:rPr>
                <w:rFonts w:hint="eastAsia"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医保惠民保障</w:t>
            </w:r>
          </w:p>
        </w:tc>
        <w:tc>
          <w:tcPr>
            <w:tcW w:w="1848" w:type="dxa"/>
            <w:vAlign w:val="center"/>
          </w:tcPr>
          <w:p w14:paraId="59C957BD">
            <w:pPr>
              <w:widowControl/>
              <w:spacing w:line="270" w:lineRule="exact"/>
              <w:jc w:val="both"/>
              <w:rPr>
                <w:rFonts w:hint="eastAsia"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完善藏医药医保配套政策，扩大制剂医保准入范围，提升基层普惠性，降低群众就医用药成本。</w:t>
            </w:r>
          </w:p>
          <w:p w14:paraId="1C37D01E">
            <w:pPr>
              <w:widowControl/>
              <w:spacing w:line="270" w:lineRule="exact"/>
              <w:jc w:val="both"/>
              <w:rPr>
                <w:rFonts w:hint="eastAsia" w:ascii="Times New Roman" w:hAnsi="Times New Roman" w:eastAsia="方正仿宋简体" w:cs="方正仿宋简体"/>
                <w:bCs/>
                <w:sz w:val="21"/>
                <w:szCs w:val="21"/>
                <w:lang w:eastAsia="zh-CN"/>
              </w:rPr>
            </w:pPr>
          </w:p>
        </w:tc>
        <w:tc>
          <w:tcPr>
            <w:tcW w:w="5711" w:type="dxa"/>
            <w:vAlign w:val="center"/>
          </w:tcPr>
          <w:p w14:paraId="2437DC4D">
            <w:pPr>
              <w:widowControl/>
              <w:spacing w:line="270" w:lineRule="exact"/>
              <w:jc w:val="both"/>
              <w:rPr>
                <w:rFonts w:hint="eastAsia"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持续优化藏医药医保报销、准入等配套政策，不断扩大自研藏药、院内制剂医保准入覆盖面。2025年全市新增31种自研藏药纳入医保，医保准入自研藏药累计达56种，申扎县64种自研藏药、全市64种院内制剂全部纳入医保保障清单，实现特色藏药医保全覆盖。2025年全市藏医药医保结算18.7万人次、结算金额1.12亿元，同比分别增长13%、14%，基层农牧民用药负担持续下降，藏医药服务基层可及性、普惠性大幅提升。</w:t>
            </w:r>
          </w:p>
        </w:tc>
      </w:tr>
      <w:tr w14:paraId="591EB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1260" w:type="dxa"/>
            <w:vAlign w:val="center"/>
          </w:tcPr>
          <w:p w14:paraId="60E8286B">
            <w:pPr>
              <w:widowControl/>
              <w:spacing w:line="270" w:lineRule="exact"/>
              <w:jc w:val="center"/>
              <w:rPr>
                <w:rFonts w:hint="eastAsia"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文化传承创新</w:t>
            </w:r>
          </w:p>
        </w:tc>
        <w:tc>
          <w:tcPr>
            <w:tcW w:w="1848" w:type="dxa"/>
            <w:vAlign w:val="center"/>
          </w:tcPr>
          <w:p w14:paraId="45636DA2">
            <w:pPr>
              <w:widowControl/>
              <w:spacing w:line="270" w:lineRule="exact"/>
              <w:jc w:val="both"/>
              <w:rPr>
                <w:rFonts w:hint="eastAsia"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深耕藏医药非遗活态传承，深挖文化内涵，推动藏医药与文化、旅游产业深度融合，激活产业文化价值。</w:t>
            </w:r>
          </w:p>
          <w:p w14:paraId="1271B4C0">
            <w:pPr>
              <w:widowControl/>
              <w:spacing w:line="270" w:lineRule="exact"/>
              <w:jc w:val="both"/>
              <w:rPr>
                <w:rFonts w:hint="eastAsia" w:ascii="Times New Roman" w:hAnsi="Times New Roman" w:eastAsia="方正仿宋简体" w:cs="方正仿宋简体"/>
                <w:bCs/>
                <w:sz w:val="21"/>
                <w:szCs w:val="21"/>
                <w:lang w:eastAsia="zh-CN"/>
              </w:rPr>
            </w:pPr>
          </w:p>
        </w:tc>
        <w:tc>
          <w:tcPr>
            <w:tcW w:w="5711" w:type="dxa"/>
            <w:vAlign w:val="center"/>
          </w:tcPr>
          <w:p w14:paraId="2F2FD582">
            <w:pPr>
              <w:widowControl/>
              <w:spacing w:line="270" w:lineRule="exact"/>
              <w:jc w:val="both"/>
              <w:rPr>
                <w:rFonts w:hint="eastAsia"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扎实推进藏医药非遗保护与活态传承工作，“藏医脉泻杂炯疗法”成功入选国家级非物质文化遗产名录，守住传统藏医药核心技艺根基。申扎县藏医院建成专业化藏医药文化展厅，集中展示各类藏药材、古籍文献、传统诊疗器械138种，常态化开展传统典籍研学、非遗技艺传承、文化科普等特色活动。深化“藏医药+”融合发展模式，2025年全市藏医药关联文化产业产值达8.4亿元，成功构建藏医药、文化、旅游三位一体的融合发展新格局。</w:t>
            </w:r>
          </w:p>
        </w:tc>
      </w:tr>
      <w:tr w14:paraId="4D077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2" w:hRule="atLeast"/>
        </w:trPr>
        <w:tc>
          <w:tcPr>
            <w:tcW w:w="1260" w:type="dxa"/>
            <w:vAlign w:val="center"/>
          </w:tcPr>
          <w:p w14:paraId="0AAE76AE">
            <w:pPr>
              <w:widowControl/>
              <w:spacing w:line="270" w:lineRule="exact"/>
              <w:jc w:val="center"/>
              <w:rPr>
                <w:rFonts w:hint="eastAsia" w:ascii="Times New Roman" w:hAnsi="Times New Roman" w:eastAsia="方正仿宋简体" w:cs="方正仿宋简体"/>
                <w:bCs/>
                <w:sz w:val="21"/>
                <w:szCs w:val="21"/>
                <w:lang w:eastAsia="zh-CN"/>
              </w:rPr>
            </w:pPr>
            <w:bookmarkStart w:id="100" w:name="_Hlk236903118"/>
            <w:r>
              <w:rPr>
                <w:rFonts w:hint="eastAsia" w:ascii="Times New Roman" w:hAnsi="Times New Roman" w:eastAsia="方正仿宋简体" w:cs="方正仿宋简体"/>
                <w:bCs/>
                <w:sz w:val="21"/>
                <w:szCs w:val="21"/>
                <w:lang w:eastAsia="zh-CN"/>
              </w:rPr>
              <w:t>区域统筹发展</w:t>
            </w:r>
          </w:p>
        </w:tc>
        <w:tc>
          <w:tcPr>
            <w:tcW w:w="1848" w:type="dxa"/>
            <w:vAlign w:val="center"/>
          </w:tcPr>
          <w:p w14:paraId="620B98D9">
            <w:pPr>
              <w:widowControl/>
              <w:spacing w:line="270" w:lineRule="exact"/>
              <w:jc w:val="both"/>
              <w:rPr>
                <w:rFonts w:hint="eastAsia"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构建全域联动、层级清晰、分工明确的产业服务与生产体系，组建产业联盟，优化</w:t>
            </w:r>
            <w:bookmarkStart w:id="101" w:name="OLE_LINK156"/>
            <w:r>
              <w:rPr>
                <w:rFonts w:hint="eastAsia" w:ascii="Times New Roman" w:hAnsi="Times New Roman" w:eastAsia="方正仿宋简体" w:cs="方正仿宋简体"/>
                <w:bCs/>
                <w:sz w:val="21"/>
                <w:szCs w:val="21"/>
                <w:lang w:val="en-US" w:eastAsia="zh-CN"/>
              </w:rPr>
              <w:t>那曲</w:t>
            </w:r>
            <w:bookmarkEnd w:id="101"/>
            <w:r>
              <w:rPr>
                <w:rFonts w:hint="eastAsia" w:ascii="Times New Roman" w:hAnsi="Times New Roman" w:eastAsia="方正仿宋简体" w:cs="方正仿宋简体"/>
                <w:bCs/>
                <w:sz w:val="21"/>
                <w:szCs w:val="21"/>
                <w:lang w:val="en-US" w:eastAsia="zh-CN"/>
              </w:rPr>
              <w:t>资源统筹配置。</w:t>
            </w:r>
          </w:p>
          <w:p w14:paraId="71F39A0A">
            <w:pPr>
              <w:widowControl/>
              <w:spacing w:line="270" w:lineRule="exact"/>
              <w:jc w:val="both"/>
              <w:rPr>
                <w:rFonts w:hint="eastAsia" w:ascii="Times New Roman" w:hAnsi="Times New Roman" w:eastAsia="方正仿宋简体" w:cs="方正仿宋简体"/>
                <w:bCs/>
                <w:sz w:val="21"/>
                <w:szCs w:val="21"/>
                <w:lang w:val="en-US" w:eastAsia="zh-CN"/>
              </w:rPr>
            </w:pPr>
          </w:p>
        </w:tc>
        <w:tc>
          <w:tcPr>
            <w:tcW w:w="5711" w:type="dxa"/>
            <w:vAlign w:val="center"/>
          </w:tcPr>
          <w:p w14:paraId="29697057">
            <w:pPr>
              <w:widowControl/>
              <w:spacing w:line="270" w:lineRule="exact"/>
              <w:jc w:val="both"/>
              <w:rPr>
                <w:rFonts w:hint="eastAsia"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创新搭建市、县藏医院制剂室产业联盟，形成以</w:t>
            </w:r>
            <w:bookmarkStart w:id="102" w:name="OLE_LINK67"/>
            <w:r>
              <w:rPr>
                <w:rFonts w:hint="eastAsia" w:ascii="Times New Roman" w:hAnsi="Times New Roman" w:eastAsia="方正仿宋简体" w:cs="方正仿宋简体"/>
                <w:bCs/>
                <w:sz w:val="21"/>
                <w:szCs w:val="21"/>
                <w:lang w:val="en-US" w:eastAsia="zh-CN"/>
              </w:rPr>
              <w:t>市藏医院制剂中心</w:t>
            </w:r>
            <w:bookmarkEnd w:id="102"/>
            <w:r>
              <w:rPr>
                <w:rFonts w:hint="eastAsia" w:ascii="Times New Roman" w:hAnsi="Times New Roman" w:eastAsia="方正仿宋简体" w:cs="方正仿宋简体"/>
                <w:bCs/>
                <w:sz w:val="21"/>
                <w:szCs w:val="21"/>
                <w:lang w:val="en-US" w:eastAsia="zh-CN"/>
              </w:rPr>
              <w:t>为龙头，中部嘉黎县、东部索县、西部申扎县为三大区域的藏药产业发展纽带，精准保障那曲临床用药需求。全域构建“生产基地+县域医院+乡（镇）网点”三级藏医药供给服务体系，</w:t>
            </w:r>
            <w:r>
              <w:rPr>
                <w:rFonts w:hint="eastAsia" w:ascii="Times New Roman" w:hAnsi="Times New Roman" w:eastAsia="方正仿宋简体" w:cs="方正仿宋简体"/>
                <w:bCs/>
                <w:sz w:val="21"/>
                <w:szCs w:val="21"/>
                <w:lang w:eastAsia="zh-CN"/>
              </w:rPr>
              <w:t>依托市、县两级藏医院及乡镇藏医服务网点，织密全域藏医药服务网络，藏医药医保政策惠及98%的参保农牧民群众。</w:t>
            </w:r>
            <w:r>
              <w:rPr>
                <w:rFonts w:hint="eastAsia" w:ascii="Times New Roman" w:hAnsi="Times New Roman" w:eastAsia="方正仿宋简体" w:cs="方正仿宋简体"/>
                <w:bCs/>
                <w:sz w:val="21"/>
                <w:szCs w:val="21"/>
                <w:lang w:val="en-US" w:eastAsia="zh-CN"/>
              </w:rPr>
              <w:t>县域协同效能持续凸显，以申扎县为核心枢纽，辐射带动尼玛县、班戈县、双湖县</w:t>
            </w:r>
            <w:bookmarkStart w:id="103" w:name="OLE_LINK71"/>
            <w:r>
              <w:rPr>
                <w:rFonts w:hint="eastAsia" w:ascii="Times New Roman" w:hAnsi="Times New Roman" w:eastAsia="方正仿宋简体" w:cs="方正仿宋简体"/>
                <w:bCs/>
                <w:sz w:val="21"/>
                <w:szCs w:val="21"/>
                <w:lang w:val="en-US" w:eastAsia="zh-CN"/>
              </w:rPr>
              <w:t>其余</w:t>
            </w:r>
            <w:bookmarkEnd w:id="103"/>
            <w:r>
              <w:rPr>
                <w:rFonts w:hint="eastAsia" w:ascii="Times New Roman" w:hAnsi="Times New Roman" w:eastAsia="方正仿宋简体" w:cs="方正仿宋简体"/>
                <w:bCs/>
                <w:sz w:val="21"/>
                <w:szCs w:val="21"/>
                <w:lang w:val="en-US" w:eastAsia="zh-CN"/>
              </w:rPr>
              <w:t>西部三县的协同发展；2025年全市藏药委托生产额达265万元、药品调剂额89.2万元，实现那曲藏医药服务均衡布局、资源互通、全域覆盖。</w:t>
            </w:r>
          </w:p>
        </w:tc>
      </w:tr>
      <w:bookmarkEnd w:id="100"/>
      <w:tr w14:paraId="1892C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0" w:hRule="atLeast"/>
        </w:trPr>
        <w:tc>
          <w:tcPr>
            <w:tcW w:w="1260" w:type="dxa"/>
            <w:vAlign w:val="center"/>
          </w:tcPr>
          <w:p w14:paraId="31D685F5">
            <w:pPr>
              <w:widowControl/>
              <w:spacing w:line="270" w:lineRule="exact"/>
              <w:jc w:val="center"/>
              <w:rPr>
                <w:rFonts w:hint="eastAsia"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val="en-US" w:eastAsia="zh-CN"/>
              </w:rPr>
              <w:t>人才培育与就业赋能</w:t>
            </w:r>
          </w:p>
          <w:p w14:paraId="0DDDCA9E">
            <w:pPr>
              <w:widowControl/>
              <w:spacing w:line="270" w:lineRule="exact"/>
              <w:jc w:val="center"/>
              <w:rPr>
                <w:rFonts w:hint="eastAsia" w:ascii="Times New Roman" w:hAnsi="Times New Roman" w:eastAsia="方正仿宋简体" w:cs="方正仿宋简体"/>
                <w:bCs/>
                <w:sz w:val="21"/>
                <w:szCs w:val="21"/>
                <w:lang w:eastAsia="zh-CN"/>
              </w:rPr>
            </w:pPr>
          </w:p>
        </w:tc>
        <w:tc>
          <w:tcPr>
            <w:tcW w:w="1848" w:type="dxa"/>
            <w:vAlign w:val="center"/>
          </w:tcPr>
          <w:p w14:paraId="10B2D53C">
            <w:pPr>
              <w:widowControl/>
              <w:spacing w:line="270" w:lineRule="exact"/>
              <w:jc w:val="both"/>
              <w:rPr>
                <w:rFonts w:hint="eastAsia"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搭建专业化人才培育平台，组建专业制剂团队，强化人才梯队建设，带动本地群众就业增收。</w:t>
            </w:r>
          </w:p>
          <w:p w14:paraId="37AB1D5D">
            <w:pPr>
              <w:widowControl/>
              <w:spacing w:line="270" w:lineRule="exact"/>
              <w:jc w:val="both"/>
              <w:rPr>
                <w:rFonts w:hint="eastAsia" w:ascii="Times New Roman" w:hAnsi="Times New Roman" w:eastAsia="方正仿宋简体" w:cs="方正仿宋简体"/>
                <w:bCs/>
                <w:sz w:val="21"/>
                <w:szCs w:val="21"/>
                <w:lang w:val="en-US" w:eastAsia="zh-CN"/>
              </w:rPr>
            </w:pPr>
          </w:p>
        </w:tc>
        <w:tc>
          <w:tcPr>
            <w:tcW w:w="5711" w:type="dxa"/>
            <w:vAlign w:val="center"/>
          </w:tcPr>
          <w:p w14:paraId="3A9245F6">
            <w:pPr>
              <w:widowControl/>
              <w:spacing w:line="270" w:lineRule="exact"/>
              <w:jc w:val="both"/>
              <w:rPr>
                <w:rFonts w:hint="eastAsia"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聚焦藏医药专业人才短板，依托重点县域藏医院搭建人才培育阵地，申扎、嘉黎等重点县域均组建专属制剂专业技术团队，夯实产业发展人才支撑。其中嘉黎县藏医院制剂室发挥示范引领作用，累计开展全市藏医技能培训，培育专业藏医人才101名，有效充实那曲藏医药从业队伍；同时，积极吸纳本地群众21人稳定就业，切实以藏医药产业发展带动民生增收、助力乡村振兴。</w:t>
            </w:r>
          </w:p>
        </w:tc>
      </w:tr>
      <w:tr w14:paraId="73AC3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2" w:hRule="atLeast"/>
        </w:trPr>
        <w:tc>
          <w:tcPr>
            <w:tcW w:w="1260" w:type="dxa"/>
            <w:vAlign w:val="center"/>
          </w:tcPr>
          <w:p w14:paraId="529BA4FA">
            <w:pPr>
              <w:widowControl/>
              <w:spacing w:line="270" w:lineRule="exact"/>
              <w:jc w:val="center"/>
              <w:rPr>
                <w:rFonts w:hint="eastAsia"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产业发展短板梳理</w:t>
            </w:r>
          </w:p>
          <w:p w14:paraId="3814E675">
            <w:pPr>
              <w:widowControl/>
              <w:spacing w:line="270" w:lineRule="exact"/>
              <w:jc w:val="center"/>
              <w:rPr>
                <w:rFonts w:hint="eastAsia" w:ascii="Times New Roman" w:hAnsi="Times New Roman" w:eastAsia="方正仿宋简体" w:cs="方正仿宋简体"/>
                <w:bCs/>
                <w:sz w:val="21"/>
                <w:szCs w:val="21"/>
                <w:lang w:eastAsia="zh-CN"/>
              </w:rPr>
            </w:pPr>
          </w:p>
        </w:tc>
        <w:tc>
          <w:tcPr>
            <w:tcW w:w="1848" w:type="dxa"/>
            <w:vAlign w:val="center"/>
          </w:tcPr>
          <w:p w14:paraId="14D9F5F7">
            <w:pPr>
              <w:widowControl/>
              <w:spacing w:line="270" w:lineRule="exact"/>
              <w:jc w:val="both"/>
              <w:rPr>
                <w:rFonts w:hint="eastAsia"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精准研判产业发展现状，梳理短板弱项，为后续规模化、市场化发展明确提升方向。</w:t>
            </w:r>
          </w:p>
        </w:tc>
        <w:tc>
          <w:tcPr>
            <w:tcW w:w="5711" w:type="dxa"/>
            <w:vAlign w:val="center"/>
          </w:tcPr>
          <w:p w14:paraId="08BDC7F2">
            <w:pPr>
              <w:widowControl/>
              <w:spacing w:line="270" w:lineRule="exact"/>
              <w:jc w:val="both"/>
              <w:rPr>
                <w:rFonts w:hint="eastAsia"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当前那曲市藏医药产业核心发展模式以医疗服务、院内制剂自用为主，产业整体市场化运营、规模化发展程度偏低；制剂产品应用场景较为局限，主要集中于院内临床自用、县域内部调剂，对外市场化推广、产业化输出力度不足，后续需重点拓宽市场渠道、壮大产业规模、提升市场化发展水平。同时，推进藏药标准化剂型改革，扩大医保准入品类，加强藏药材养殖工作，以林麝养殖为切入点，保障藏药材麝香的产业链培育。</w:t>
            </w:r>
          </w:p>
        </w:tc>
      </w:tr>
    </w:tbl>
    <w:p w14:paraId="32172C87">
      <w:pPr>
        <w:pStyle w:val="27"/>
        <w:overflowPunct w:val="0"/>
        <w:spacing w:line="576" w:lineRule="exact"/>
        <w:ind w:firstLine="640" w:firstLineChars="200"/>
        <w:jc w:val="both"/>
        <w:rPr>
          <w:rFonts w:ascii="Times New Roman" w:hAnsi="Times New Roman" w:eastAsia="方正仿宋简体" w:cs="方正仿宋简体"/>
          <w:bCs/>
          <w:sz w:val="32"/>
          <w:szCs w:val="28"/>
          <w:lang w:eastAsia="zh-CN"/>
        </w:rPr>
      </w:pPr>
      <w:r>
        <w:rPr>
          <w:rFonts w:hint="eastAsia" w:ascii="Times New Roman" w:hAnsi="Times New Roman" w:eastAsia="方正仿宋简体" w:cs="方正仿宋简体"/>
          <w:bCs/>
          <w:sz w:val="32"/>
          <w:szCs w:val="28"/>
          <w:lang w:val="en-US" w:eastAsia="zh-CN"/>
        </w:rPr>
        <w:t>那曲市</w:t>
      </w:r>
      <w:r>
        <w:rPr>
          <w:rFonts w:ascii="Times New Roman" w:hAnsi="Times New Roman" w:eastAsia="方正仿宋简体" w:cs="方正仿宋简体"/>
          <w:bCs/>
          <w:sz w:val="32"/>
          <w:szCs w:val="28"/>
          <w:lang w:val="en-US" w:eastAsia="zh-CN"/>
        </w:rPr>
        <w:t>藏医药产业发展始终坚持生态优先、传承创新、惠民为本、融合赋能发展导向，实现生态效益、文化效益、社会效益、经济效益</w:t>
      </w:r>
      <w:r>
        <w:rPr>
          <w:rFonts w:ascii="Times New Roman" w:hAnsi="Times New Roman" w:eastAsia="方正仿宋简体" w:cs="方正仿宋简体"/>
          <w:bCs/>
          <w:sz w:val="32"/>
          <w:szCs w:val="28"/>
          <w:lang w:eastAsia="zh-CN"/>
        </w:rPr>
        <w:t>协同</w:t>
      </w:r>
      <w:r>
        <w:rPr>
          <w:rFonts w:ascii="Times New Roman" w:hAnsi="Times New Roman" w:eastAsia="方正仿宋简体" w:cs="方正仿宋简体"/>
          <w:bCs/>
          <w:sz w:val="32"/>
          <w:szCs w:val="28"/>
          <w:lang w:val="en-US" w:eastAsia="zh-CN"/>
        </w:rPr>
        <w:t>提升。</w:t>
      </w:r>
      <w:r>
        <w:rPr>
          <w:rFonts w:ascii="Times New Roman" w:hAnsi="Times New Roman" w:eastAsia="方正仿宋简体" w:cs="方正仿宋简体"/>
          <w:b/>
          <w:sz w:val="32"/>
          <w:szCs w:val="28"/>
          <w:lang w:val="en-US" w:eastAsia="zh-CN"/>
        </w:rPr>
        <w:t>一是</w:t>
      </w:r>
      <w:r>
        <w:rPr>
          <w:rFonts w:ascii="Times New Roman" w:hAnsi="Times New Roman" w:eastAsia="方正仿宋简体" w:cs="方正仿宋简体"/>
          <w:bCs/>
          <w:sz w:val="32"/>
          <w:szCs w:val="28"/>
          <w:lang w:val="en-US" w:eastAsia="zh-CN"/>
        </w:rPr>
        <w:t>坚持古法传承与现代赋能双向融合。在活态传承</w:t>
      </w:r>
      <w:r>
        <w:rPr>
          <w:rFonts w:hint="eastAsia" w:ascii="Times New Roman" w:hAnsi="Times New Roman" w:eastAsia="方正仿宋简体" w:cs="方正仿宋简体"/>
          <w:bCs/>
          <w:sz w:val="32"/>
          <w:szCs w:val="28"/>
          <w:lang w:val="en-US" w:eastAsia="zh-CN"/>
        </w:rPr>
        <w:t>“</w:t>
      </w:r>
      <w:r>
        <w:rPr>
          <w:rFonts w:ascii="Times New Roman" w:hAnsi="Times New Roman" w:eastAsia="方正仿宋简体" w:cs="方正仿宋简体"/>
          <w:bCs/>
          <w:sz w:val="32"/>
          <w:szCs w:val="28"/>
          <w:lang w:val="en-US" w:eastAsia="zh-CN"/>
        </w:rPr>
        <w:t>霍尔麦疗法</w:t>
      </w:r>
      <w:r>
        <w:rPr>
          <w:rFonts w:hint="eastAsia" w:ascii="Times New Roman" w:hAnsi="Times New Roman" w:eastAsia="方正仿宋简体" w:cs="方正仿宋简体"/>
          <w:bCs/>
          <w:sz w:val="32"/>
          <w:szCs w:val="28"/>
          <w:lang w:val="en-US" w:eastAsia="zh-CN"/>
        </w:rPr>
        <w:t>”</w:t>
      </w:r>
      <w:r>
        <w:rPr>
          <w:rFonts w:ascii="Times New Roman" w:hAnsi="Times New Roman" w:eastAsia="方正仿宋简体" w:cs="方正仿宋简体"/>
          <w:bCs/>
          <w:sz w:val="32"/>
          <w:szCs w:val="28"/>
          <w:lang w:val="en-US" w:eastAsia="zh-CN"/>
        </w:rPr>
        <w:t>等传统藏医特色技艺、保留古法炮制精髓的基础上，配套配置高效液相色谱仪等现代化精密检测设备，建立原药采收、制剂生产、质量检验全流程标准化管控体系，实现传统医学智慧与现代生产技术有机融合</w:t>
      </w:r>
      <w:r>
        <w:rPr>
          <w:rFonts w:hint="eastAsia" w:ascii="Times New Roman" w:hAnsi="Times New Roman" w:eastAsia="方正仿宋简体" w:cs="方正仿宋简体"/>
          <w:bCs/>
          <w:sz w:val="32"/>
          <w:szCs w:val="28"/>
          <w:lang w:val="en-US" w:eastAsia="zh-CN"/>
        </w:rPr>
        <w:t>；</w:t>
      </w:r>
      <w:r>
        <w:rPr>
          <w:rFonts w:ascii="Times New Roman" w:hAnsi="Times New Roman" w:eastAsia="方正仿宋简体" w:cs="方正仿宋简体"/>
          <w:b/>
          <w:sz w:val="32"/>
          <w:szCs w:val="28"/>
          <w:lang w:val="en-US" w:eastAsia="zh-CN"/>
        </w:rPr>
        <w:t>二是</w:t>
      </w:r>
      <w:r>
        <w:rPr>
          <w:rFonts w:ascii="Times New Roman" w:hAnsi="Times New Roman" w:eastAsia="方正仿宋简体" w:cs="方正仿宋简体"/>
          <w:bCs/>
          <w:sz w:val="32"/>
          <w:szCs w:val="28"/>
          <w:lang w:val="en-US" w:eastAsia="zh-CN"/>
        </w:rPr>
        <w:t>坚持链条延伸与富民增收双向发力。依托特色药材资源，持续培育藏医药康养、文化体验、科普研学等新业态，推动藏医药产业由单一药品生产向文旅融合、康养服务多元业态延伸，拓宽农牧民就近就业、持续增收渠道，有效赋能乡村全面振兴</w:t>
      </w:r>
      <w:r>
        <w:rPr>
          <w:rFonts w:hint="eastAsia" w:ascii="Times New Roman" w:hAnsi="Times New Roman" w:eastAsia="方正仿宋简体" w:cs="方正仿宋简体"/>
          <w:bCs/>
          <w:sz w:val="32"/>
          <w:szCs w:val="28"/>
          <w:lang w:val="en-US" w:eastAsia="zh-CN"/>
        </w:rPr>
        <w:t>；</w:t>
      </w:r>
      <w:r>
        <w:rPr>
          <w:rFonts w:ascii="Times New Roman" w:hAnsi="Times New Roman" w:eastAsia="方正仿宋简体" w:cs="方正仿宋简体"/>
          <w:b/>
          <w:sz w:val="32"/>
          <w:szCs w:val="28"/>
          <w:lang w:val="en-US" w:eastAsia="zh-CN"/>
        </w:rPr>
        <w:t>三是</w:t>
      </w:r>
      <w:r>
        <w:rPr>
          <w:rFonts w:ascii="Times New Roman" w:hAnsi="Times New Roman" w:eastAsia="方正仿宋简体" w:cs="方正仿宋简体"/>
          <w:bCs/>
          <w:sz w:val="32"/>
          <w:szCs w:val="28"/>
          <w:lang w:val="en-US" w:eastAsia="zh-CN"/>
        </w:rPr>
        <w:t>坚持资源保护与有序开发双向统筹。</w:t>
      </w:r>
      <w:bookmarkStart w:id="104" w:name="OLE_LINK73"/>
      <w:r>
        <w:rPr>
          <w:rFonts w:ascii="Times New Roman" w:hAnsi="Times New Roman" w:eastAsia="方正仿宋简体" w:cs="方正仿宋简体"/>
          <w:bCs/>
          <w:sz w:val="32"/>
          <w:szCs w:val="28"/>
          <w:lang w:eastAsia="zh-CN"/>
        </w:rPr>
        <w:t>严格落实高原生态保护要求，健全那曲冬虫夏草溯源管理、野生药材分区保育、可持续采摘等制度规范。引导市场主体参与药材野生抚育基地建设，从严管控采集行为，坚决杜绝过度开发、无序采集现象，推动形成资源保护、产业发展、生态修复协同共生的绿色发展模式。</w:t>
      </w:r>
    </w:p>
    <w:bookmarkEnd w:id="104"/>
    <w:p w14:paraId="3E14074B">
      <w:pPr>
        <w:pStyle w:val="8"/>
        <w:overflowPunct w:val="0"/>
        <w:topLinePunct/>
        <w:autoSpaceDE/>
        <w:autoSpaceDN/>
        <w:spacing w:before="0" w:line="576" w:lineRule="exact"/>
        <w:ind w:left="0" w:firstLine="640" w:firstLineChars="200"/>
        <w:jc w:val="both"/>
        <w:outlineLvl w:val="1"/>
        <w:rPr>
          <w:rFonts w:ascii="Times New Roman" w:hAnsi="Times New Roman" w:eastAsia="方正楷体简体" w:cs="方正仿宋简体"/>
          <w:sz w:val="32"/>
          <w:szCs w:val="32"/>
        </w:rPr>
      </w:pPr>
      <w:bookmarkStart w:id="105" w:name="_Toc212558090"/>
      <w:bookmarkStart w:id="106" w:name="_Toc243241426"/>
      <w:bookmarkStart w:id="107" w:name="_Toc218422249"/>
      <w:r>
        <w:rPr>
          <w:rFonts w:hint="eastAsia" w:ascii="Times New Roman" w:hAnsi="Times New Roman" w:eastAsia="方正楷体简体" w:cs="方正仿宋简体"/>
          <w:sz w:val="32"/>
          <w:szCs w:val="32"/>
        </w:rPr>
        <w:t>（三）清洁能源产业</w:t>
      </w:r>
      <w:bookmarkEnd w:id="105"/>
      <w:bookmarkEnd w:id="106"/>
      <w:bookmarkEnd w:id="107"/>
    </w:p>
    <w:p w14:paraId="21689054">
      <w:pPr>
        <w:pStyle w:val="27"/>
        <w:overflowPunct w:val="0"/>
        <w:spacing w:line="576" w:lineRule="exact"/>
        <w:ind w:firstLine="640" w:firstLineChars="200"/>
        <w:jc w:val="both"/>
        <w:rPr>
          <w:rFonts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那曲</w:t>
      </w:r>
      <w:r>
        <w:rPr>
          <w:rFonts w:ascii="Times New Roman" w:hAnsi="Times New Roman" w:eastAsia="方正仿宋简体" w:cs="方正仿宋简体"/>
          <w:bCs/>
          <w:sz w:val="32"/>
          <w:szCs w:val="28"/>
          <w:lang w:val="en-US" w:eastAsia="zh-CN"/>
        </w:rPr>
        <w:t>市高海拔、高日照、高风力的独特地理气候特征，造就了富集叠加的清洁能源资源优势，是西藏自治区风光水储地热多能互补开发的核心承载区。那曲市域地热资源禀赋较好，具备良好开发前景，可重点用于城镇供暖、温室供热等场景，开发需严守生态底线、落实回灌与矿业权许可管理。羊八井地热田延伸带坐落境内，是国内最早规模化开发的地热能源基地；全域年日照时数超3000小时，风能资源稳定充沛，水能、抽水蓄能开发潜力巨大。近年来，</w:t>
      </w:r>
      <w:r>
        <w:rPr>
          <w:rFonts w:hint="eastAsia" w:ascii="Times New Roman" w:hAnsi="Times New Roman" w:eastAsia="方正仿宋简体" w:cs="方正仿宋简体"/>
          <w:bCs/>
          <w:sz w:val="32"/>
          <w:szCs w:val="28"/>
          <w:lang w:val="en-US" w:eastAsia="zh-CN"/>
        </w:rPr>
        <w:t>那曲</w:t>
      </w:r>
      <w:r>
        <w:rPr>
          <w:rFonts w:ascii="Times New Roman" w:hAnsi="Times New Roman" w:eastAsia="方正仿宋简体" w:cs="方正仿宋简体"/>
          <w:bCs/>
          <w:sz w:val="32"/>
          <w:szCs w:val="28"/>
          <w:lang w:val="en-US" w:eastAsia="zh-CN"/>
        </w:rPr>
        <w:t>市依托得天独厚的绿色资源禀赋，持续攻克超高海拔开发技术瓶颈，推进风光水储地热一体化、规模化、智能化开发，全力打造西藏乃至全国重要的高原清洁能源示范基地。</w:t>
      </w:r>
    </w:p>
    <w:p w14:paraId="4375B650">
      <w:pPr>
        <w:widowControl/>
        <w:spacing w:line="576" w:lineRule="exact"/>
        <w:jc w:val="center"/>
        <w:rPr>
          <w:rFonts w:ascii="Times New Roman" w:hAnsi="Times New Roman" w:eastAsia="方正仿宋简体" w:cs="方正仿宋简体"/>
          <w:b/>
          <w:sz w:val="32"/>
          <w:szCs w:val="32"/>
          <w:lang w:eastAsia="zh-CN"/>
        </w:rPr>
      </w:pPr>
      <w:bookmarkStart w:id="108" w:name="OLE_LINK2"/>
      <w:r>
        <w:rPr>
          <w:rFonts w:hint="eastAsia" w:ascii="Times New Roman" w:hAnsi="Times New Roman" w:eastAsia="方正仿宋简体" w:cs="方正仿宋简体"/>
          <w:b/>
          <w:sz w:val="32"/>
          <w:szCs w:val="32"/>
          <w:lang w:eastAsia="zh-CN"/>
        </w:rPr>
        <w:t>清洁能源</w:t>
      </w:r>
      <w:r>
        <w:rPr>
          <w:rFonts w:ascii="Times New Roman" w:hAnsi="Times New Roman" w:eastAsia="方正仿宋简体" w:cs="方正仿宋简体"/>
          <w:b/>
          <w:sz w:val="32"/>
          <w:szCs w:val="32"/>
          <w:lang w:eastAsia="zh-CN"/>
        </w:rPr>
        <w:t>产业发展核心举措及成效一览表</w:t>
      </w:r>
    </w:p>
    <w:bookmarkEnd w:id="108"/>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2"/>
        <w:gridCol w:w="1764"/>
        <w:gridCol w:w="5439"/>
      </w:tblGrid>
      <w:tr w14:paraId="5C8A3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trPr>
        <w:tc>
          <w:tcPr>
            <w:tcW w:w="1632" w:type="dxa"/>
            <w:vAlign w:val="center"/>
          </w:tcPr>
          <w:p w14:paraId="15E00610">
            <w:pPr>
              <w:widowControl/>
              <w:spacing w:line="352" w:lineRule="exact"/>
              <w:jc w:val="center"/>
              <w:rPr>
                <w:rFonts w:ascii="Times New Roman" w:hAnsi="Times New Roman" w:eastAsia="方正仿宋简体" w:cs="方正仿宋简体"/>
                <w:b/>
                <w:sz w:val="24"/>
                <w:szCs w:val="24"/>
                <w:lang w:eastAsia="zh-CN"/>
              </w:rPr>
            </w:pPr>
            <w:r>
              <w:rPr>
                <w:rFonts w:ascii="Times New Roman" w:hAnsi="Times New Roman" w:eastAsia="方正仿宋简体" w:cs="方正仿宋简体"/>
                <w:b/>
                <w:sz w:val="24"/>
                <w:szCs w:val="24"/>
                <w:lang w:val="en-US" w:eastAsia="zh-CN"/>
              </w:rPr>
              <w:t>分析维度</w:t>
            </w:r>
          </w:p>
        </w:tc>
        <w:tc>
          <w:tcPr>
            <w:tcW w:w="1764" w:type="dxa"/>
            <w:vAlign w:val="center"/>
          </w:tcPr>
          <w:p w14:paraId="4E5555F9">
            <w:pPr>
              <w:widowControl/>
              <w:spacing w:line="352" w:lineRule="exact"/>
              <w:jc w:val="center"/>
              <w:rPr>
                <w:rFonts w:ascii="Times New Roman" w:hAnsi="Times New Roman" w:eastAsia="方正仿宋简体" w:cs="方正仿宋简体"/>
                <w:b/>
                <w:sz w:val="24"/>
                <w:szCs w:val="24"/>
                <w:lang w:eastAsia="zh-CN"/>
              </w:rPr>
            </w:pPr>
            <w:r>
              <w:rPr>
                <w:rFonts w:ascii="Times New Roman" w:hAnsi="Times New Roman" w:eastAsia="方正仿宋简体" w:cs="方正仿宋简体"/>
                <w:b/>
                <w:sz w:val="24"/>
                <w:szCs w:val="24"/>
                <w:lang w:val="en-US" w:eastAsia="zh-CN"/>
              </w:rPr>
              <w:t>核心实施策略</w:t>
            </w:r>
          </w:p>
        </w:tc>
        <w:tc>
          <w:tcPr>
            <w:tcW w:w="5439" w:type="dxa"/>
            <w:vAlign w:val="center"/>
          </w:tcPr>
          <w:p w14:paraId="3AD01A35">
            <w:pPr>
              <w:widowControl/>
              <w:spacing w:line="352" w:lineRule="exact"/>
              <w:jc w:val="center"/>
              <w:rPr>
                <w:rFonts w:ascii="Times New Roman" w:hAnsi="Times New Roman" w:eastAsia="方正仿宋简体" w:cs="方正仿宋简体"/>
                <w:b/>
                <w:sz w:val="24"/>
                <w:szCs w:val="24"/>
                <w:lang w:eastAsia="zh-CN"/>
              </w:rPr>
            </w:pPr>
            <w:r>
              <w:rPr>
                <w:rFonts w:ascii="Times New Roman" w:hAnsi="Times New Roman" w:eastAsia="方正仿宋简体" w:cs="方正仿宋简体"/>
                <w:b/>
                <w:sz w:val="24"/>
                <w:szCs w:val="24"/>
                <w:lang w:val="en-US" w:eastAsia="zh-CN"/>
              </w:rPr>
              <w:t>落地举措与发展成效</w:t>
            </w:r>
          </w:p>
        </w:tc>
      </w:tr>
      <w:tr w14:paraId="0EF50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4" w:hRule="atLeast"/>
        </w:trPr>
        <w:tc>
          <w:tcPr>
            <w:tcW w:w="1632" w:type="dxa"/>
            <w:vAlign w:val="center"/>
          </w:tcPr>
          <w:p w14:paraId="3DF4D7CA">
            <w:pPr>
              <w:widowControl/>
              <w:spacing w:line="270" w:lineRule="exact"/>
              <w:jc w:val="both"/>
              <w:rPr>
                <w:rFonts w:hint="eastAsia"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val="en-US" w:eastAsia="zh-CN"/>
              </w:rPr>
              <w:t>资源基底建设</w:t>
            </w:r>
          </w:p>
        </w:tc>
        <w:tc>
          <w:tcPr>
            <w:tcW w:w="1764" w:type="dxa"/>
            <w:vAlign w:val="center"/>
          </w:tcPr>
          <w:p w14:paraId="75072C6F">
            <w:pPr>
              <w:widowControl/>
              <w:spacing w:line="270" w:lineRule="exact"/>
              <w:jc w:val="both"/>
              <w:rPr>
                <w:rFonts w:hint="eastAsia"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系统摸排全域清洁能源资源底数，统筹多能互补开发布局</w:t>
            </w:r>
            <w:r>
              <w:rPr>
                <w:rFonts w:hint="eastAsia" w:ascii="Times New Roman" w:hAnsi="Times New Roman" w:eastAsia="方正仿宋简体" w:cs="方正仿宋简体"/>
                <w:bCs/>
                <w:sz w:val="21"/>
                <w:szCs w:val="21"/>
                <w:lang w:eastAsia="zh-CN"/>
              </w:rPr>
              <w:t>。</w:t>
            </w:r>
          </w:p>
        </w:tc>
        <w:tc>
          <w:tcPr>
            <w:tcW w:w="5439" w:type="dxa"/>
            <w:vAlign w:val="center"/>
          </w:tcPr>
          <w:p w14:paraId="59683CE5">
            <w:pPr>
              <w:widowControl/>
              <w:spacing w:line="270" w:lineRule="exact"/>
              <w:jc w:val="both"/>
              <w:rPr>
                <w:rFonts w:hint="eastAsia" w:ascii="Times New Roman" w:hAnsi="Times New Roman" w:eastAsia="方正仿宋简体" w:cs="方正仿宋简体"/>
                <w:bCs/>
                <w:sz w:val="21"/>
                <w:szCs w:val="21"/>
                <w:lang w:eastAsia="zh-CN"/>
              </w:rPr>
            </w:pPr>
            <w:bookmarkStart w:id="109" w:name="OLE_LINK76"/>
            <w:bookmarkStart w:id="110" w:name="OLE_LINK143"/>
            <w:r>
              <w:rPr>
                <w:rFonts w:hint="eastAsia" w:ascii="Times New Roman" w:hAnsi="Times New Roman" w:eastAsia="方正仿宋简体" w:cs="方正仿宋简体"/>
                <w:bCs/>
                <w:sz w:val="21"/>
                <w:szCs w:val="21"/>
                <w:lang w:val="en-US" w:eastAsia="zh-CN"/>
              </w:rPr>
              <w:t>全</w:t>
            </w:r>
            <w:bookmarkEnd w:id="109"/>
            <w:r>
              <w:rPr>
                <w:rFonts w:hint="eastAsia" w:ascii="Times New Roman" w:hAnsi="Times New Roman" w:eastAsia="方正仿宋简体" w:cs="方正仿宋简体"/>
                <w:bCs/>
                <w:sz w:val="21"/>
                <w:szCs w:val="21"/>
                <w:lang w:eastAsia="zh-CN"/>
              </w:rPr>
              <w:t>市清洁能源禀赋突出，太阳能资源技术可开发量约37.1亿千瓦、占全区38%，风能资源技术可开发量约3724万千瓦、占全区35.7%，水能资源技术可开发量约308万千瓦，抽水蓄能规划规模超1500万千瓦。</w:t>
            </w:r>
            <w:bookmarkEnd w:id="110"/>
            <w:r>
              <w:rPr>
                <w:rFonts w:hint="eastAsia" w:ascii="Times New Roman" w:hAnsi="Times New Roman" w:eastAsia="方正仿宋简体" w:cs="方正仿宋简体"/>
                <w:bCs/>
                <w:sz w:val="21"/>
                <w:szCs w:val="21"/>
                <w:lang w:eastAsia="zh-CN"/>
              </w:rPr>
              <w:t>地热为重要清洁能源，那曲市域地热资源禀赋优良，开发潜力较大，可有序发展地热供暖等利用业态，开发实施生态保护与采灌平衡管控。多品类绿色能源富集度位居全区前列，为清洁能源产业规模化开发筑牢资源根基。</w:t>
            </w:r>
          </w:p>
        </w:tc>
      </w:tr>
      <w:tr w14:paraId="0987C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4" w:hRule="atLeast"/>
        </w:trPr>
        <w:tc>
          <w:tcPr>
            <w:tcW w:w="1632" w:type="dxa"/>
            <w:vAlign w:val="center"/>
          </w:tcPr>
          <w:p w14:paraId="6839CE1E">
            <w:pPr>
              <w:widowControl/>
              <w:spacing w:line="270" w:lineRule="exact"/>
              <w:jc w:val="both"/>
              <w:rPr>
                <w:rFonts w:hint="eastAsia"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val="en-US" w:eastAsia="zh-CN"/>
              </w:rPr>
              <w:t>产业规模扩容</w:t>
            </w:r>
          </w:p>
        </w:tc>
        <w:tc>
          <w:tcPr>
            <w:tcW w:w="1764" w:type="dxa"/>
            <w:vAlign w:val="center"/>
          </w:tcPr>
          <w:p w14:paraId="0CA54166">
            <w:pPr>
              <w:widowControl/>
              <w:spacing w:line="270" w:lineRule="exact"/>
              <w:jc w:val="both"/>
              <w:rPr>
                <w:rFonts w:hint="eastAsia"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推进重点项目落地建设，持续壮大清洁能源装机体量</w:t>
            </w:r>
            <w:r>
              <w:rPr>
                <w:rFonts w:hint="eastAsia" w:ascii="Times New Roman" w:hAnsi="Times New Roman" w:eastAsia="方正仿宋简体" w:cs="方正仿宋简体"/>
                <w:bCs/>
                <w:sz w:val="21"/>
                <w:szCs w:val="21"/>
                <w:lang w:eastAsia="zh-CN"/>
              </w:rPr>
              <w:t>。</w:t>
            </w:r>
          </w:p>
        </w:tc>
        <w:tc>
          <w:tcPr>
            <w:tcW w:w="5439" w:type="dxa"/>
            <w:vAlign w:val="center"/>
          </w:tcPr>
          <w:p w14:paraId="3ACA9A21">
            <w:pPr>
              <w:widowControl/>
              <w:spacing w:line="270" w:lineRule="exact"/>
              <w:jc w:val="both"/>
              <w:rPr>
                <w:rFonts w:hint="eastAsia"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全市清洁能源总装机达137.68万千瓦，其中光伏99.25万千瓦、风电30.75万千瓦、水电7.68万千瓦，另有110万千瓦项目有序在建。建成欧玛亭嘎100兆瓦超高海拔风电、甘丹康桑100兆瓦光伏储能等标志性项目，产业规模化发展格局基本形成。</w:t>
            </w:r>
          </w:p>
        </w:tc>
      </w:tr>
      <w:tr w14:paraId="394E0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trPr>
        <w:tc>
          <w:tcPr>
            <w:tcW w:w="1632" w:type="dxa"/>
            <w:vAlign w:val="center"/>
          </w:tcPr>
          <w:p w14:paraId="38EBCFC8">
            <w:pPr>
              <w:widowControl/>
              <w:spacing w:line="270" w:lineRule="exact"/>
              <w:jc w:val="both"/>
              <w:rPr>
                <w:rFonts w:hint="eastAsia"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val="en-US" w:eastAsia="zh-CN"/>
              </w:rPr>
              <w:t>科创技术赋能</w:t>
            </w:r>
          </w:p>
        </w:tc>
        <w:tc>
          <w:tcPr>
            <w:tcW w:w="1764" w:type="dxa"/>
            <w:vAlign w:val="center"/>
          </w:tcPr>
          <w:p w14:paraId="498EFCE1">
            <w:pPr>
              <w:widowControl/>
              <w:spacing w:line="270" w:lineRule="exact"/>
              <w:jc w:val="both"/>
              <w:rPr>
                <w:rFonts w:hint="eastAsia"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攻克超高海拔技术难题，构建多能互补储能技术体系</w:t>
            </w:r>
            <w:r>
              <w:rPr>
                <w:rFonts w:hint="eastAsia" w:ascii="Times New Roman" w:hAnsi="Times New Roman" w:eastAsia="方正仿宋简体" w:cs="方正仿宋简体"/>
                <w:bCs/>
                <w:sz w:val="21"/>
                <w:szCs w:val="21"/>
                <w:lang w:eastAsia="zh-CN"/>
              </w:rPr>
              <w:t>。</w:t>
            </w:r>
          </w:p>
        </w:tc>
        <w:tc>
          <w:tcPr>
            <w:tcW w:w="5439" w:type="dxa"/>
            <w:vAlign w:val="center"/>
          </w:tcPr>
          <w:p w14:paraId="0D8819AF">
            <w:pPr>
              <w:widowControl/>
              <w:spacing w:line="270" w:lineRule="exact"/>
              <w:jc w:val="both"/>
              <w:rPr>
                <w:rFonts w:hint="eastAsia"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val="en-US" w:eastAsia="zh-CN"/>
              </w:rPr>
              <w:t>深耕超高海拔电力运维、储能调峰、新能源适配技术，落地色尼区达嘎普100兆瓦/400兆瓦时独立构网型储能项目，斩获亚洲电力行业奖项。</w:t>
            </w:r>
          </w:p>
        </w:tc>
      </w:tr>
      <w:tr w14:paraId="53EA8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8" w:hRule="atLeast"/>
        </w:trPr>
        <w:tc>
          <w:tcPr>
            <w:tcW w:w="1632" w:type="dxa"/>
            <w:vAlign w:val="center"/>
          </w:tcPr>
          <w:p w14:paraId="02A887C4">
            <w:pPr>
              <w:widowControl/>
              <w:spacing w:line="270" w:lineRule="exact"/>
              <w:jc w:val="both"/>
              <w:rPr>
                <w:rFonts w:hint="eastAsia"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val="en-US" w:eastAsia="zh-CN"/>
              </w:rPr>
              <w:t>生态融合发展</w:t>
            </w:r>
          </w:p>
        </w:tc>
        <w:tc>
          <w:tcPr>
            <w:tcW w:w="1764" w:type="dxa"/>
            <w:vAlign w:val="center"/>
          </w:tcPr>
          <w:p w14:paraId="166D24F3">
            <w:pPr>
              <w:widowControl/>
              <w:spacing w:line="270" w:lineRule="exact"/>
              <w:jc w:val="both"/>
              <w:rPr>
                <w:rFonts w:hint="eastAsia"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创新牧光互补开发模式，实现产业发展与生态保护协同共生</w:t>
            </w:r>
            <w:r>
              <w:rPr>
                <w:rFonts w:hint="eastAsia" w:ascii="Times New Roman" w:hAnsi="Times New Roman" w:eastAsia="方正仿宋简体" w:cs="方正仿宋简体"/>
                <w:bCs/>
                <w:sz w:val="21"/>
                <w:szCs w:val="21"/>
                <w:lang w:eastAsia="zh-CN"/>
              </w:rPr>
              <w:t>。</w:t>
            </w:r>
          </w:p>
        </w:tc>
        <w:tc>
          <w:tcPr>
            <w:tcW w:w="5439" w:type="dxa"/>
            <w:vAlign w:val="center"/>
          </w:tcPr>
          <w:p w14:paraId="742F4156">
            <w:pPr>
              <w:widowControl/>
              <w:spacing w:line="270" w:lineRule="exact"/>
              <w:jc w:val="both"/>
              <w:rPr>
                <w:rFonts w:hint="eastAsia"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严格贴合高原生态保护要求，推行光伏板高支架布设模式，支架高度不低于1.8米，保留板下天然放牧空间，实现光伏发电与传统畜牧业兼容发展、土地资源复合高效利用，打造高原“牧光互补”绿色发展示范样板</w:t>
            </w:r>
            <w:r>
              <w:rPr>
                <w:rFonts w:hint="eastAsia" w:ascii="Times New Roman" w:hAnsi="Times New Roman" w:eastAsia="方正仿宋简体" w:cs="方正仿宋简体"/>
                <w:bCs/>
                <w:sz w:val="21"/>
                <w:szCs w:val="21"/>
                <w:lang w:eastAsia="zh-CN"/>
              </w:rPr>
              <w:t>。</w:t>
            </w:r>
          </w:p>
        </w:tc>
      </w:tr>
      <w:tr w14:paraId="3109B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7" w:hRule="atLeast"/>
        </w:trPr>
        <w:tc>
          <w:tcPr>
            <w:tcW w:w="1632" w:type="dxa"/>
            <w:vAlign w:val="center"/>
          </w:tcPr>
          <w:p w14:paraId="67459C09">
            <w:pPr>
              <w:widowControl/>
              <w:spacing w:line="270" w:lineRule="exact"/>
              <w:jc w:val="both"/>
              <w:rPr>
                <w:rFonts w:hint="eastAsia"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惠民效益释放</w:t>
            </w:r>
          </w:p>
        </w:tc>
        <w:tc>
          <w:tcPr>
            <w:tcW w:w="1764" w:type="dxa"/>
            <w:vAlign w:val="center"/>
          </w:tcPr>
          <w:p w14:paraId="748002D9">
            <w:pPr>
              <w:widowControl/>
              <w:spacing w:line="270" w:lineRule="exact"/>
              <w:jc w:val="both"/>
              <w:rPr>
                <w:rFonts w:hint="eastAsia"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强化电力保供与外送赋能，推动清洁能源产业惠民富民。</w:t>
            </w:r>
          </w:p>
        </w:tc>
        <w:tc>
          <w:tcPr>
            <w:tcW w:w="5439" w:type="dxa"/>
            <w:vAlign w:val="center"/>
          </w:tcPr>
          <w:p w14:paraId="6DFA2927">
            <w:pPr>
              <w:widowControl/>
              <w:spacing w:line="270" w:lineRule="exact"/>
              <w:jc w:val="both"/>
              <w:rPr>
                <w:rFonts w:hint="eastAsia" w:ascii="Times New Roman" w:hAnsi="Times New Roman" w:eastAsia="方正仿宋简体" w:cs="方正仿宋简体"/>
                <w:bCs/>
                <w:sz w:val="21"/>
                <w:szCs w:val="21"/>
                <w:lang w:val="en-US" w:eastAsia="zh-CN"/>
              </w:rPr>
            </w:pPr>
            <w:bookmarkStart w:id="111" w:name="OLE_LINK77"/>
            <w:r>
              <w:rPr>
                <w:rFonts w:hint="eastAsia" w:ascii="Times New Roman" w:hAnsi="Times New Roman" w:eastAsia="方正仿宋简体" w:cs="方正仿宋简体"/>
                <w:bCs/>
                <w:sz w:val="21"/>
                <w:szCs w:val="21"/>
                <w:lang w:val="en-US" w:eastAsia="zh-CN"/>
              </w:rPr>
              <w:t>2025年全社会用电量12.82亿千瓦时，同比增长24.05%，年上网电量11.21亿千瓦时，同比增长39.49%，电力保障能力持续提升；2025年清洁能源外送电量达1.25亿千瓦时，同比增长35.76%，“那电外送”格局持续巩固。产业累计提供就业岗位5000余人次，草原租赁费用超1.56亿元，同步推广地热能集中供暖、清洁电能入户，极大改善群众生产生活条件。</w:t>
            </w:r>
            <w:bookmarkEnd w:id="111"/>
          </w:p>
        </w:tc>
      </w:tr>
    </w:tbl>
    <w:p w14:paraId="5C42C7D0">
      <w:pPr>
        <w:pStyle w:val="27"/>
        <w:overflowPunct w:val="0"/>
        <w:spacing w:line="576" w:lineRule="exact"/>
        <w:ind w:firstLine="640" w:firstLineChars="200"/>
        <w:jc w:val="both"/>
        <w:rPr>
          <w:rFonts w:ascii="Times New Roman" w:hAnsi="Times New Roman" w:eastAsia="方正仿宋简体" w:cs="方正仿宋简体"/>
          <w:bCs/>
          <w:sz w:val="32"/>
          <w:szCs w:val="28"/>
          <w:lang w:val="en-US" w:eastAsia="zh-CN"/>
        </w:rPr>
      </w:pPr>
      <w:bookmarkStart w:id="112" w:name="_Toc218422250"/>
      <w:bookmarkStart w:id="113" w:name="_Toc212558091"/>
      <w:r>
        <w:rPr>
          <w:rFonts w:ascii="Times New Roman" w:hAnsi="Times New Roman" w:eastAsia="方正仿宋简体" w:cs="方正仿宋简体"/>
          <w:bCs/>
          <w:sz w:val="32"/>
          <w:szCs w:val="28"/>
          <w:lang w:eastAsia="zh-CN"/>
        </w:rPr>
        <w:t>全市清</w:t>
      </w:r>
      <w:r>
        <w:rPr>
          <w:rFonts w:ascii="Times New Roman" w:hAnsi="Times New Roman" w:eastAsia="方正仿宋简体" w:cs="方正仿宋简体"/>
          <w:bCs/>
          <w:sz w:val="32"/>
          <w:szCs w:val="28"/>
          <w:lang w:val="en-US" w:eastAsia="zh-CN"/>
        </w:rPr>
        <w:t>洁能源产业发展始终坚持生态优先、科技赋能、多元互补、惠民增效发展导向，走出了一条适配超高海拔地区的绿色能源高质量发展路径。</w:t>
      </w:r>
      <w:r>
        <w:rPr>
          <w:rFonts w:ascii="Times New Roman" w:hAnsi="Times New Roman" w:eastAsia="方正仿宋简体" w:cs="方正仿宋简体"/>
          <w:b/>
          <w:sz w:val="32"/>
          <w:szCs w:val="28"/>
          <w:lang w:val="en-US" w:eastAsia="zh-CN"/>
        </w:rPr>
        <w:t>一是</w:t>
      </w:r>
      <w:r>
        <w:rPr>
          <w:rFonts w:ascii="Times New Roman" w:hAnsi="Times New Roman" w:eastAsia="方正仿宋简体" w:cs="方正仿宋简体"/>
          <w:bCs/>
          <w:sz w:val="32"/>
          <w:szCs w:val="28"/>
          <w:lang w:val="en-US" w:eastAsia="zh-CN"/>
        </w:rPr>
        <w:t>坚持</w:t>
      </w:r>
      <w:r>
        <w:rPr>
          <w:rFonts w:ascii="Times New Roman" w:hAnsi="Times New Roman" w:eastAsia="方正仿宋简体" w:cs="方正仿宋简体"/>
          <w:bCs/>
          <w:sz w:val="32"/>
          <w:szCs w:val="28"/>
          <w:lang w:eastAsia="zh-CN"/>
        </w:rPr>
        <w:t>生态</w:t>
      </w:r>
      <w:r>
        <w:rPr>
          <w:rFonts w:ascii="Times New Roman" w:hAnsi="Times New Roman" w:eastAsia="方正仿宋简体" w:cs="方正仿宋简体"/>
          <w:bCs/>
          <w:sz w:val="32"/>
          <w:szCs w:val="28"/>
          <w:lang w:val="en-US" w:eastAsia="zh-CN"/>
        </w:rPr>
        <w:t>赋能、融合发展。立足高原生态脆弱、草场资源珍贵的实际，创新推广</w:t>
      </w:r>
      <w:r>
        <w:rPr>
          <w:rFonts w:hint="eastAsia" w:ascii="方正仿宋简体" w:hAnsi="方正仿宋简体" w:eastAsia="方正仿宋简体" w:cs="方正仿宋简体"/>
          <w:bCs/>
          <w:sz w:val="32"/>
          <w:szCs w:val="28"/>
          <w:lang w:val="en-US" w:eastAsia="zh-CN"/>
        </w:rPr>
        <w:t>“牧光互补”</w:t>
      </w:r>
      <w:r>
        <w:rPr>
          <w:rFonts w:ascii="Times New Roman" w:hAnsi="Times New Roman" w:eastAsia="方正仿宋简体" w:cs="方正仿宋简体"/>
          <w:bCs/>
          <w:sz w:val="32"/>
          <w:szCs w:val="28"/>
          <w:lang w:val="en-US" w:eastAsia="zh-CN"/>
        </w:rPr>
        <w:t>复合发展模式，统筹新能源开发与草场保护、畜牧生产，实现发电、放牧双向赋能、双向增效，有效破解产业开发与生态保护矛盾，构建绿色低碳、可持续的产业发展新格局；</w:t>
      </w:r>
      <w:r>
        <w:rPr>
          <w:rFonts w:ascii="Times New Roman" w:hAnsi="Times New Roman" w:eastAsia="方正仿宋简体" w:cs="方正仿宋简体"/>
          <w:b/>
          <w:sz w:val="32"/>
          <w:szCs w:val="28"/>
          <w:lang w:val="en-US" w:eastAsia="zh-CN"/>
        </w:rPr>
        <w:t>二是</w:t>
      </w:r>
      <w:r>
        <w:rPr>
          <w:rFonts w:ascii="Times New Roman" w:hAnsi="Times New Roman" w:eastAsia="方正仿宋简体" w:cs="方正仿宋简体"/>
          <w:bCs/>
          <w:sz w:val="32"/>
          <w:szCs w:val="28"/>
          <w:lang w:val="en-US" w:eastAsia="zh-CN"/>
        </w:rPr>
        <w:t>坚持科技攻坚、突破瓶颈。聚焦超高海拔、低温缺氧、强风覆冰等极端工况，针对性攻克电气绝缘、机组散热、防雷防冻、稳定运维等关键技术难题，落地一批国家级、世界级标杆示范项目，积累可复制、可推广的高原新能源开发技术经验，为全市乃至全区清洁能源规模化开发筑牢技术支撑</w:t>
      </w:r>
      <w:r>
        <w:rPr>
          <w:rFonts w:hint="eastAsia" w:ascii="Times New Roman" w:hAnsi="Times New Roman" w:eastAsia="方正仿宋简体" w:cs="方正仿宋简体"/>
          <w:bCs/>
          <w:sz w:val="32"/>
          <w:szCs w:val="28"/>
          <w:lang w:val="en-US" w:eastAsia="zh-CN"/>
        </w:rPr>
        <w:t>；</w:t>
      </w:r>
      <w:r>
        <w:rPr>
          <w:rFonts w:ascii="Times New Roman" w:hAnsi="Times New Roman" w:eastAsia="方正仿宋简体" w:cs="方正仿宋简体"/>
          <w:b/>
          <w:sz w:val="32"/>
          <w:szCs w:val="28"/>
          <w:lang w:val="en-US" w:eastAsia="zh-CN"/>
        </w:rPr>
        <w:t>三是</w:t>
      </w:r>
      <w:r>
        <w:rPr>
          <w:rFonts w:ascii="Times New Roman" w:hAnsi="Times New Roman" w:eastAsia="方正仿宋简体" w:cs="方正仿宋简体"/>
          <w:bCs/>
          <w:sz w:val="32"/>
          <w:szCs w:val="28"/>
          <w:lang w:val="en-US" w:eastAsia="zh-CN"/>
        </w:rPr>
        <w:t>坚持产业惠民、共享发展。依托清洁能源全产业链发展，持续拓宽本地群众就业增收渠道，吸纳本土人才就近就业、返乡创业。同时</w:t>
      </w:r>
      <w:r>
        <w:rPr>
          <w:rFonts w:hint="eastAsia" w:ascii="Times New Roman" w:hAnsi="Times New Roman" w:eastAsia="方正仿宋简体" w:cs="方正仿宋简体"/>
          <w:bCs/>
          <w:sz w:val="32"/>
          <w:szCs w:val="28"/>
          <w:lang w:val="en-US" w:eastAsia="zh-CN"/>
        </w:rPr>
        <w:t>，</w:t>
      </w:r>
      <w:r>
        <w:rPr>
          <w:rFonts w:ascii="Times New Roman" w:hAnsi="Times New Roman" w:eastAsia="方正仿宋简体" w:cs="方正仿宋简体"/>
          <w:bCs/>
          <w:sz w:val="32"/>
          <w:szCs w:val="28"/>
          <w:lang w:val="en-US" w:eastAsia="zh-CN"/>
        </w:rPr>
        <w:t>以充沛绿色电力赋能民生提质，全面推广清洁采暖、电气化生活设施，持续优化牧区生产生活条件，切实将资源优势、产业优势转化为民生福祉、发展胜势。</w:t>
      </w:r>
    </w:p>
    <w:p w14:paraId="08F84D55">
      <w:pPr>
        <w:pStyle w:val="8"/>
        <w:overflowPunct w:val="0"/>
        <w:topLinePunct/>
        <w:autoSpaceDE/>
        <w:autoSpaceDN/>
        <w:spacing w:before="0" w:line="576" w:lineRule="exact"/>
        <w:ind w:left="0" w:firstLine="640" w:firstLineChars="200"/>
        <w:jc w:val="both"/>
        <w:outlineLvl w:val="1"/>
        <w:rPr>
          <w:rFonts w:ascii="Times New Roman" w:hAnsi="Times New Roman" w:eastAsia="方正楷体简体" w:cs="方正仿宋简体"/>
          <w:sz w:val="32"/>
          <w:szCs w:val="32"/>
        </w:rPr>
      </w:pPr>
      <w:bookmarkStart w:id="114" w:name="_Toc243241427"/>
      <w:r>
        <w:rPr>
          <w:rFonts w:hint="eastAsia" w:ascii="Times New Roman" w:hAnsi="Times New Roman" w:eastAsia="方正楷体简体" w:cs="方正仿宋简体"/>
          <w:sz w:val="32"/>
          <w:szCs w:val="32"/>
        </w:rPr>
        <w:t>（四）生态文旅产业</w:t>
      </w:r>
      <w:bookmarkEnd w:id="112"/>
      <w:bookmarkEnd w:id="113"/>
      <w:bookmarkEnd w:id="114"/>
    </w:p>
    <w:p w14:paraId="38BB7665">
      <w:pPr>
        <w:pStyle w:val="27"/>
        <w:overflowPunct w:val="0"/>
        <w:spacing w:line="576" w:lineRule="exact"/>
        <w:ind w:firstLine="640" w:firstLineChars="200"/>
        <w:jc w:val="both"/>
        <w:rPr>
          <w:rFonts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那曲</w:t>
      </w:r>
      <w:r>
        <w:rPr>
          <w:rFonts w:ascii="Times New Roman" w:hAnsi="Times New Roman" w:eastAsia="方正仿宋简体" w:cs="方正仿宋简体"/>
          <w:bCs/>
          <w:sz w:val="32"/>
          <w:szCs w:val="28"/>
          <w:lang w:val="en-US" w:eastAsia="zh-CN"/>
        </w:rPr>
        <w:t>市坐拥独一无二的藏北极地自然风光与深厚的</w:t>
      </w:r>
      <w:r>
        <w:rPr>
          <w:rFonts w:hint="eastAsia" w:ascii="Times New Roman" w:hAnsi="Times New Roman" w:eastAsia="方正仿宋简体" w:cs="方正仿宋简体"/>
          <w:bCs/>
          <w:sz w:val="32"/>
          <w:szCs w:val="28"/>
          <w:lang w:val="en-US" w:eastAsia="zh-CN"/>
        </w:rPr>
        <w:t>羌塘</w:t>
      </w:r>
      <w:r>
        <w:rPr>
          <w:rFonts w:ascii="Times New Roman" w:hAnsi="Times New Roman" w:eastAsia="方正仿宋简体" w:cs="方正仿宋简体"/>
          <w:bCs/>
          <w:sz w:val="32"/>
          <w:szCs w:val="28"/>
          <w:lang w:val="en-US" w:eastAsia="zh-CN"/>
        </w:rPr>
        <w:t>象雄游牧文化底蕴，自然生态资源与人文文化资源兼具稀缺性、独特性与不可复制性。自然层面拥有羌塘国家级自然保护区、普若岗日冰川、色林错、错鄂鸟岛、纳木错等世界级高原景观，极地冰川、高原湖泊、草原生态系统构成独一无二的藏北天际风光体系；人文层面富集</w:t>
      </w:r>
      <w:r>
        <w:rPr>
          <w:rFonts w:hint="eastAsia" w:ascii="Times New Roman" w:hAnsi="Times New Roman" w:eastAsia="方正仿宋简体" w:cs="方正仿宋简体"/>
          <w:bCs/>
          <w:sz w:val="32"/>
          <w:szCs w:val="28"/>
          <w:lang w:val="en-US" w:eastAsia="zh-CN"/>
        </w:rPr>
        <w:t>羌塘</w:t>
      </w:r>
      <w:r>
        <w:rPr>
          <w:rFonts w:ascii="Times New Roman" w:hAnsi="Times New Roman" w:eastAsia="方正仿宋简体" w:cs="方正仿宋简体"/>
          <w:bCs/>
          <w:sz w:val="32"/>
          <w:szCs w:val="28"/>
          <w:lang w:val="en-US" w:eastAsia="zh-CN"/>
        </w:rPr>
        <w:t>象雄古遗址、唐蕃古道、格萨尔文化、藏北游牧民俗、</w:t>
      </w:r>
      <w:r>
        <w:rPr>
          <w:rFonts w:hint="eastAsia" w:ascii="Times New Roman" w:hAnsi="Times New Roman" w:eastAsia="方正仿宋简体" w:cs="方正仿宋简体"/>
          <w:bCs/>
          <w:sz w:val="32"/>
          <w:szCs w:val="28"/>
          <w:lang w:val="en-US" w:eastAsia="zh-CN"/>
        </w:rPr>
        <w:t>茶马古道、</w:t>
      </w:r>
      <w:r>
        <w:rPr>
          <w:rFonts w:ascii="Times New Roman" w:hAnsi="Times New Roman" w:eastAsia="方正仿宋简体" w:cs="方正仿宋简体"/>
          <w:bCs/>
          <w:sz w:val="32"/>
          <w:szCs w:val="28"/>
          <w:lang w:eastAsia="zh-CN"/>
        </w:rPr>
        <w:t>苏毗</w:t>
      </w:r>
      <w:r>
        <w:rPr>
          <w:rFonts w:hint="eastAsia" w:ascii="微软雅黑" w:hAnsi="微软雅黑" w:eastAsia="微软雅黑" w:cs="微软雅黑"/>
          <w:bCs/>
          <w:sz w:val="32"/>
          <w:szCs w:val="28"/>
          <w:lang w:eastAsia="zh-CN"/>
        </w:rPr>
        <w:t>・</w:t>
      </w:r>
      <w:r>
        <w:rPr>
          <w:rFonts w:hint="eastAsia" w:ascii="方正仿宋简体" w:hAnsi="方正仿宋简体" w:eastAsia="方正仿宋简体" w:cs="方正仿宋简体"/>
          <w:bCs/>
          <w:sz w:val="32"/>
          <w:szCs w:val="28"/>
          <w:lang w:eastAsia="zh-CN"/>
        </w:rPr>
        <w:t>娜秀文化</w:t>
      </w:r>
      <w:r>
        <w:rPr>
          <w:rFonts w:ascii="Times New Roman" w:hAnsi="Times New Roman" w:eastAsia="方正仿宋简体" w:cs="方正仿宋简体"/>
          <w:bCs/>
          <w:sz w:val="32"/>
          <w:szCs w:val="28"/>
          <w:lang w:eastAsia="zh-CN"/>
        </w:rPr>
        <w:t>、</w:t>
      </w:r>
      <w:r>
        <w:rPr>
          <w:rFonts w:ascii="Times New Roman" w:hAnsi="Times New Roman" w:eastAsia="方正仿宋简体" w:cs="方正仿宋简体"/>
          <w:bCs/>
          <w:sz w:val="32"/>
          <w:szCs w:val="28"/>
          <w:lang w:val="en-US" w:eastAsia="zh-CN"/>
        </w:rPr>
        <w:t>唐卡、藏毯编织、金银器制作等优质文旅资源。近年来，</w:t>
      </w:r>
      <w:r>
        <w:rPr>
          <w:rFonts w:hint="eastAsia" w:ascii="Times New Roman" w:hAnsi="Times New Roman" w:eastAsia="方正仿宋简体" w:cs="方正仿宋简体"/>
          <w:bCs/>
          <w:sz w:val="32"/>
          <w:szCs w:val="28"/>
          <w:lang w:val="en-US" w:eastAsia="zh-CN"/>
        </w:rPr>
        <w:t>那曲市</w:t>
      </w:r>
      <w:r>
        <w:rPr>
          <w:rFonts w:ascii="Times New Roman" w:hAnsi="Times New Roman" w:eastAsia="方正仿宋简体" w:cs="方正仿宋简体"/>
          <w:bCs/>
          <w:sz w:val="32"/>
          <w:szCs w:val="28"/>
          <w:lang w:val="en-US" w:eastAsia="zh-CN"/>
        </w:rPr>
        <w:t>立足藏北高原资源禀赋，聚力打造</w:t>
      </w:r>
      <w:r>
        <w:rPr>
          <w:rFonts w:hint="eastAsia" w:ascii="方正仿宋简体" w:hAnsi="方正仿宋简体" w:eastAsia="方正仿宋简体" w:cs="方正仿宋简体"/>
          <w:bCs/>
          <w:sz w:val="32"/>
          <w:szCs w:val="28"/>
          <w:lang w:val="en-US" w:eastAsia="zh-CN"/>
        </w:rPr>
        <w:t>“极地那曲·天际之旅”</w:t>
      </w:r>
      <w:r>
        <w:rPr>
          <w:rFonts w:ascii="Times New Roman" w:hAnsi="Times New Roman" w:eastAsia="方正仿宋简体" w:cs="方正仿宋简体"/>
          <w:bCs/>
          <w:sz w:val="32"/>
          <w:szCs w:val="28"/>
          <w:lang w:val="en-US" w:eastAsia="zh-CN"/>
        </w:rPr>
        <w:t>核心文旅品牌，持续优化旅游空间布局、完善基础设施配套、深化产业融合创新，推动生态文旅产业规模化、品质化、普惠化发展，逐步建成藏北高原特色生态旅游目的地。</w:t>
      </w:r>
    </w:p>
    <w:p w14:paraId="0AB9C33B">
      <w:pPr>
        <w:widowControl/>
        <w:spacing w:line="576" w:lineRule="exact"/>
        <w:jc w:val="center"/>
        <w:rPr>
          <w:rFonts w:ascii="Times New Roman" w:hAnsi="Times New Roman" w:eastAsia="方正仿宋简体" w:cs="方正仿宋简体"/>
          <w:b/>
          <w:sz w:val="32"/>
          <w:szCs w:val="32"/>
          <w:lang w:eastAsia="zh-CN"/>
        </w:rPr>
      </w:pPr>
      <w:r>
        <w:rPr>
          <w:rFonts w:hint="eastAsia" w:ascii="Times New Roman" w:hAnsi="Times New Roman" w:eastAsia="方正仿宋简体" w:cs="方正仿宋简体"/>
          <w:b/>
          <w:sz w:val="32"/>
          <w:szCs w:val="32"/>
          <w:lang w:eastAsia="zh-CN"/>
        </w:rPr>
        <w:t>生态文旅</w:t>
      </w:r>
      <w:bookmarkStart w:id="115" w:name="OLE_LINK3"/>
      <w:r>
        <w:rPr>
          <w:rFonts w:ascii="Times New Roman" w:hAnsi="Times New Roman" w:eastAsia="方正仿宋简体" w:cs="方正仿宋简体"/>
          <w:b/>
          <w:sz w:val="32"/>
          <w:szCs w:val="32"/>
          <w:lang w:eastAsia="zh-CN"/>
        </w:rPr>
        <w:t>产业发展核心举措及成效一览表</w:t>
      </w:r>
      <w:bookmarkEnd w:id="115"/>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3"/>
        <w:gridCol w:w="3274"/>
        <w:gridCol w:w="3852"/>
      </w:tblGrid>
      <w:tr w14:paraId="7096C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1693" w:type="dxa"/>
            <w:vAlign w:val="center"/>
          </w:tcPr>
          <w:p w14:paraId="13836D4D">
            <w:pPr>
              <w:widowControl/>
              <w:spacing w:line="352"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分析维度</w:t>
            </w:r>
          </w:p>
        </w:tc>
        <w:tc>
          <w:tcPr>
            <w:tcW w:w="3274" w:type="dxa"/>
            <w:vAlign w:val="center"/>
          </w:tcPr>
          <w:p w14:paraId="3404E5A9">
            <w:pPr>
              <w:widowControl/>
              <w:spacing w:line="352" w:lineRule="exact"/>
              <w:jc w:val="center"/>
              <w:rPr>
                <w:rFonts w:ascii="Times New Roman" w:hAnsi="Times New Roman" w:eastAsia="方正仿宋简体" w:cs="方正仿宋简体"/>
                <w:b/>
                <w:sz w:val="24"/>
                <w:szCs w:val="24"/>
                <w:lang w:eastAsia="zh-CN"/>
              </w:rPr>
            </w:pPr>
            <w:r>
              <w:rPr>
                <w:rFonts w:ascii="Times New Roman" w:hAnsi="Times New Roman" w:eastAsia="方正仿宋简体" w:cs="方正仿宋简体"/>
                <w:b/>
                <w:sz w:val="24"/>
                <w:szCs w:val="24"/>
                <w:lang w:val="en-US" w:eastAsia="zh-CN"/>
              </w:rPr>
              <w:t>核心实施策略</w:t>
            </w:r>
          </w:p>
        </w:tc>
        <w:tc>
          <w:tcPr>
            <w:tcW w:w="3852" w:type="dxa"/>
            <w:vAlign w:val="center"/>
          </w:tcPr>
          <w:p w14:paraId="3AEB5132">
            <w:pPr>
              <w:widowControl/>
              <w:spacing w:line="352" w:lineRule="exact"/>
              <w:jc w:val="center"/>
              <w:rPr>
                <w:rFonts w:ascii="Times New Roman" w:hAnsi="Times New Roman" w:eastAsia="方正仿宋简体" w:cs="方正仿宋简体"/>
                <w:b/>
                <w:sz w:val="24"/>
                <w:szCs w:val="24"/>
                <w:lang w:eastAsia="zh-CN"/>
              </w:rPr>
            </w:pPr>
            <w:r>
              <w:rPr>
                <w:rFonts w:ascii="Times New Roman" w:hAnsi="Times New Roman" w:eastAsia="方正仿宋简体" w:cs="方正仿宋简体"/>
                <w:b/>
                <w:sz w:val="24"/>
                <w:szCs w:val="24"/>
                <w:lang w:val="en-US" w:eastAsia="zh-CN"/>
              </w:rPr>
              <w:t>落地举措与发展成效</w:t>
            </w:r>
          </w:p>
        </w:tc>
      </w:tr>
      <w:tr w14:paraId="44033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2" w:hRule="atLeast"/>
        </w:trPr>
        <w:tc>
          <w:tcPr>
            <w:tcW w:w="1693" w:type="dxa"/>
            <w:vAlign w:val="center"/>
          </w:tcPr>
          <w:p w14:paraId="641BDD02">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val="en-US" w:eastAsia="zh-CN"/>
              </w:rPr>
              <w:t>品牌体系建设</w:t>
            </w:r>
          </w:p>
        </w:tc>
        <w:tc>
          <w:tcPr>
            <w:tcW w:w="3274" w:type="dxa"/>
            <w:vAlign w:val="center"/>
          </w:tcPr>
          <w:p w14:paraId="1BFA6F91">
            <w:pPr>
              <w:widowControl/>
              <w:spacing w:line="270" w:lineRule="exact"/>
              <w:jc w:val="both"/>
              <w:rPr>
                <w:rFonts w:hint="eastAsia"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塑造全域文旅核心IP，优化全域旅游空间布局</w:t>
            </w:r>
            <w:r>
              <w:rPr>
                <w:rFonts w:hint="eastAsia" w:ascii="Times New Roman" w:hAnsi="Times New Roman" w:eastAsia="方正仿宋简体" w:cs="方正仿宋简体"/>
                <w:bCs/>
                <w:sz w:val="21"/>
                <w:szCs w:val="21"/>
                <w:lang w:eastAsia="zh-CN"/>
              </w:rPr>
              <w:t>。</w:t>
            </w:r>
          </w:p>
        </w:tc>
        <w:tc>
          <w:tcPr>
            <w:tcW w:w="3852" w:type="dxa"/>
            <w:vAlign w:val="center"/>
          </w:tcPr>
          <w:p w14:paraId="7196DF58">
            <w:pPr>
              <w:widowControl/>
              <w:spacing w:line="270" w:lineRule="exact"/>
              <w:jc w:val="both"/>
              <w:rPr>
                <w:rFonts w:hint="eastAsia" w:ascii="Times New Roman" w:hAnsi="Times New Roman" w:eastAsia="方正仿宋简体" w:cs="方正仿宋简体"/>
                <w:bCs/>
                <w:sz w:val="21"/>
                <w:szCs w:val="21"/>
                <w:lang w:val="en-US" w:eastAsia="zh-CN"/>
              </w:rPr>
            </w:pPr>
            <w:bookmarkStart w:id="116" w:name="OLE_LINK79"/>
            <w:r>
              <w:rPr>
                <w:rFonts w:hint="eastAsia" w:ascii="Times New Roman" w:hAnsi="Times New Roman" w:eastAsia="方正仿宋简体" w:cs="方正仿宋简体"/>
                <w:bCs/>
                <w:sz w:val="21"/>
                <w:szCs w:val="21"/>
                <w:lang w:val="en-US" w:eastAsia="zh-CN"/>
              </w:rPr>
              <w:t>聚力打造“极地那曲·天际之旅”区域文旅品牌，构建“</w:t>
            </w:r>
            <w:r>
              <w:rPr>
                <w:rFonts w:hint="eastAsia" w:ascii="Times New Roman" w:hAnsi="Times New Roman" w:eastAsia="方正仿宋简体" w:cs="方正仿宋简体"/>
                <w:bCs/>
                <w:sz w:val="21"/>
                <w:szCs w:val="21"/>
                <w:lang w:eastAsia="zh-CN"/>
              </w:rPr>
              <w:t>一心、两廊、两环线、三片区</w:t>
            </w:r>
            <w:r>
              <w:rPr>
                <w:rFonts w:hint="eastAsia" w:ascii="Times New Roman" w:hAnsi="Times New Roman" w:eastAsia="方正仿宋简体" w:cs="方正仿宋简体"/>
                <w:bCs/>
                <w:sz w:val="21"/>
                <w:szCs w:val="21"/>
                <w:lang w:val="en-US" w:eastAsia="zh-CN"/>
              </w:rPr>
              <w:t>”文化旅游发展格局</w:t>
            </w:r>
            <w:bookmarkEnd w:id="116"/>
            <w:r>
              <w:rPr>
                <w:rFonts w:hint="eastAsia" w:ascii="Times New Roman" w:hAnsi="Times New Roman" w:eastAsia="方正仿宋简体" w:cs="方正仿宋简体"/>
                <w:bCs/>
                <w:sz w:val="21"/>
                <w:szCs w:val="21"/>
                <w:lang w:val="en-US" w:eastAsia="zh-CN"/>
              </w:rPr>
              <w:t>，全力打造藏北高原特色旅游目的地、西藏旅游西环线重要节点，那曲文旅辨识度和市场影响力持续提升。</w:t>
            </w:r>
          </w:p>
        </w:tc>
      </w:tr>
      <w:tr w14:paraId="678F0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7" w:hRule="atLeast"/>
        </w:trPr>
        <w:tc>
          <w:tcPr>
            <w:tcW w:w="1693" w:type="dxa"/>
            <w:vAlign w:val="center"/>
          </w:tcPr>
          <w:p w14:paraId="49BDB182">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val="en-US" w:eastAsia="zh-CN"/>
              </w:rPr>
              <w:t>资源体系挖掘</w:t>
            </w:r>
          </w:p>
        </w:tc>
        <w:tc>
          <w:tcPr>
            <w:tcW w:w="3274" w:type="dxa"/>
            <w:vAlign w:val="center"/>
          </w:tcPr>
          <w:p w14:paraId="0D4F9AF3">
            <w:pPr>
              <w:widowControl/>
              <w:spacing w:line="270" w:lineRule="exact"/>
              <w:jc w:val="both"/>
              <w:rPr>
                <w:rFonts w:hint="eastAsia"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val="en-US" w:eastAsia="zh-CN"/>
              </w:rPr>
              <w:t>统筹自然生态与人文非遗资源，丰富文旅产品供给</w:t>
            </w:r>
            <w:r>
              <w:rPr>
                <w:rFonts w:hint="eastAsia" w:ascii="Times New Roman" w:hAnsi="Times New Roman" w:eastAsia="方正仿宋简体" w:cs="方正仿宋简体"/>
                <w:bCs/>
                <w:sz w:val="21"/>
                <w:szCs w:val="21"/>
                <w:lang w:eastAsia="zh-CN"/>
              </w:rPr>
              <w:t>。</w:t>
            </w:r>
          </w:p>
        </w:tc>
        <w:tc>
          <w:tcPr>
            <w:tcW w:w="3852" w:type="dxa"/>
            <w:vAlign w:val="center"/>
          </w:tcPr>
          <w:p w14:paraId="41F82422">
            <w:pPr>
              <w:widowControl/>
              <w:spacing w:line="270" w:lineRule="exact"/>
              <w:jc w:val="both"/>
              <w:rPr>
                <w:rFonts w:hint="eastAsia"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整合圣象天门、萨普雪山、当惹雍错等极致自然景观，深耕恰青赛马节、格萨尔说唱、</w:t>
            </w:r>
            <w:r>
              <w:rPr>
                <w:rFonts w:hint="eastAsia" w:ascii="Times New Roman" w:hAnsi="Times New Roman" w:eastAsia="方正仿宋简体" w:cs="方正仿宋简体"/>
                <w:bCs/>
                <w:sz w:val="21"/>
                <w:szCs w:val="21"/>
                <w:lang w:eastAsia="zh-CN"/>
              </w:rPr>
              <w:t>苏毗・娜秀文化、</w:t>
            </w:r>
            <w:r>
              <w:rPr>
                <w:rFonts w:hint="eastAsia" w:ascii="Times New Roman" w:hAnsi="Times New Roman" w:eastAsia="方正仿宋简体" w:cs="方正仿宋简体"/>
                <w:bCs/>
                <w:sz w:val="21"/>
                <w:szCs w:val="21"/>
                <w:lang w:val="en-US" w:eastAsia="zh-CN"/>
              </w:rPr>
              <w:t>传统藏艺等国家级、自治区级非遗资源。全市现有A级景区12个，其中4A级景区3个、3A级景区9个，形成自然观光、文化体验、民俗研学多元产品体系。</w:t>
            </w:r>
          </w:p>
        </w:tc>
      </w:tr>
      <w:tr w14:paraId="3E695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trPr>
        <w:tc>
          <w:tcPr>
            <w:tcW w:w="1693" w:type="dxa"/>
            <w:vAlign w:val="center"/>
          </w:tcPr>
          <w:p w14:paraId="7609EAAB">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val="en-US" w:eastAsia="zh-CN"/>
              </w:rPr>
              <w:t>产业效益提升</w:t>
            </w:r>
          </w:p>
        </w:tc>
        <w:tc>
          <w:tcPr>
            <w:tcW w:w="3274" w:type="dxa"/>
            <w:vAlign w:val="center"/>
          </w:tcPr>
          <w:p w14:paraId="757C8985">
            <w:pPr>
              <w:widowControl/>
              <w:spacing w:line="270" w:lineRule="exact"/>
              <w:jc w:val="both"/>
              <w:rPr>
                <w:rFonts w:hint="eastAsia"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持续激活文旅消费市场，放大产业经济拉动效能</w:t>
            </w:r>
            <w:r>
              <w:rPr>
                <w:rFonts w:hint="eastAsia" w:ascii="Times New Roman" w:hAnsi="Times New Roman" w:eastAsia="方正仿宋简体" w:cs="方正仿宋简体"/>
                <w:bCs/>
                <w:sz w:val="21"/>
                <w:szCs w:val="21"/>
                <w:lang w:eastAsia="zh-CN"/>
              </w:rPr>
              <w:t>。</w:t>
            </w:r>
          </w:p>
        </w:tc>
        <w:tc>
          <w:tcPr>
            <w:tcW w:w="3852" w:type="dxa"/>
            <w:vAlign w:val="center"/>
          </w:tcPr>
          <w:p w14:paraId="45B4A6A2">
            <w:pPr>
              <w:widowControl/>
              <w:spacing w:line="270" w:lineRule="exact"/>
              <w:jc w:val="both"/>
              <w:rPr>
                <w:rFonts w:hint="eastAsia"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文旅市场复苏提质成效显著，2025年全市累计接待游客294.35万人次，实现旅游总收入9.57亿元，产业辐射带动能力持续增强，成为那曲经济增长重要支撑板块。</w:t>
            </w:r>
          </w:p>
        </w:tc>
      </w:tr>
      <w:tr w14:paraId="44D09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7" w:hRule="atLeast"/>
        </w:trPr>
        <w:tc>
          <w:tcPr>
            <w:tcW w:w="1693" w:type="dxa"/>
            <w:vAlign w:val="center"/>
          </w:tcPr>
          <w:p w14:paraId="6B2D6BF9">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val="en-US" w:eastAsia="zh-CN"/>
              </w:rPr>
              <w:t>产业融合发展</w:t>
            </w:r>
          </w:p>
        </w:tc>
        <w:tc>
          <w:tcPr>
            <w:tcW w:w="3274" w:type="dxa"/>
            <w:vAlign w:val="center"/>
          </w:tcPr>
          <w:p w14:paraId="48942C36">
            <w:pPr>
              <w:widowControl/>
              <w:spacing w:line="270" w:lineRule="exact"/>
              <w:jc w:val="both"/>
              <w:rPr>
                <w:rFonts w:hint="eastAsia"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深化“文旅+”多元融合模式，赋能乡村富民增收</w:t>
            </w:r>
            <w:r>
              <w:rPr>
                <w:rFonts w:hint="eastAsia" w:ascii="Times New Roman" w:hAnsi="Times New Roman" w:eastAsia="方正仿宋简体" w:cs="方正仿宋简体"/>
                <w:bCs/>
                <w:sz w:val="21"/>
                <w:szCs w:val="21"/>
                <w:lang w:eastAsia="zh-CN"/>
              </w:rPr>
              <w:t>。</w:t>
            </w:r>
          </w:p>
        </w:tc>
        <w:tc>
          <w:tcPr>
            <w:tcW w:w="3852" w:type="dxa"/>
            <w:vAlign w:val="center"/>
          </w:tcPr>
          <w:p w14:paraId="7770FE16">
            <w:pPr>
              <w:widowControl/>
              <w:spacing w:line="270" w:lineRule="exact"/>
              <w:jc w:val="both"/>
              <w:rPr>
                <w:rFonts w:hint="eastAsia"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val="en-US" w:eastAsia="zh-CN"/>
              </w:rPr>
              <w:t>大力发展“旅游+生态”“旅游+</w:t>
            </w:r>
            <w:bookmarkStart w:id="117" w:name="OLE_LINK80"/>
            <w:r>
              <w:rPr>
                <w:rFonts w:hint="eastAsia" w:ascii="Times New Roman" w:hAnsi="Times New Roman" w:eastAsia="方正仿宋简体" w:cs="方正仿宋简体"/>
                <w:bCs/>
                <w:sz w:val="21"/>
                <w:szCs w:val="21"/>
                <w:lang w:val="en-US" w:eastAsia="zh-CN"/>
              </w:rPr>
              <w:t>文化</w:t>
            </w:r>
            <w:bookmarkEnd w:id="117"/>
            <w:r>
              <w:rPr>
                <w:rFonts w:hint="eastAsia" w:ascii="Times New Roman" w:hAnsi="Times New Roman" w:eastAsia="方正仿宋简体" w:cs="方正仿宋简体"/>
                <w:bCs/>
                <w:sz w:val="21"/>
                <w:szCs w:val="21"/>
                <w:lang w:val="en-US" w:eastAsia="zh-CN"/>
              </w:rPr>
              <w:t>”“</w:t>
            </w:r>
            <w:bookmarkStart w:id="118" w:name="OLE_LINK81"/>
            <w:r>
              <w:rPr>
                <w:rFonts w:hint="eastAsia" w:ascii="Times New Roman" w:hAnsi="Times New Roman" w:eastAsia="方正仿宋简体" w:cs="方正仿宋简体"/>
                <w:bCs/>
                <w:sz w:val="21"/>
                <w:szCs w:val="21"/>
                <w:lang w:val="en-US" w:eastAsia="zh-CN"/>
              </w:rPr>
              <w:t>农牧</w:t>
            </w:r>
            <w:bookmarkEnd w:id="118"/>
            <w:r>
              <w:rPr>
                <w:rFonts w:hint="eastAsia" w:ascii="Times New Roman" w:hAnsi="Times New Roman" w:eastAsia="方正仿宋简体" w:cs="方正仿宋简体"/>
                <w:bCs/>
                <w:sz w:val="21"/>
                <w:szCs w:val="21"/>
                <w:lang w:val="en-US" w:eastAsia="zh-CN"/>
              </w:rPr>
              <w:t>+非遗”新业态，依托草原生态资源、游牧民俗资源打造沉浸式体验产品。截至2025年底，全市建成非遗工坊14家，稳定带动就业2500人左右，实现销售收入600余万元、同比增长18%，有效推动传统文化活态传承、农牧民就近稳定增收。</w:t>
            </w:r>
          </w:p>
        </w:tc>
      </w:tr>
      <w:tr w14:paraId="427DB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3" w:hRule="atLeast"/>
        </w:trPr>
        <w:tc>
          <w:tcPr>
            <w:tcW w:w="1693" w:type="dxa"/>
            <w:vAlign w:val="center"/>
          </w:tcPr>
          <w:p w14:paraId="11293278">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基础配套完善</w:t>
            </w:r>
          </w:p>
        </w:tc>
        <w:tc>
          <w:tcPr>
            <w:tcW w:w="3274" w:type="dxa"/>
            <w:vAlign w:val="center"/>
          </w:tcPr>
          <w:p w14:paraId="7481D3E6">
            <w:pPr>
              <w:widowControl/>
              <w:spacing w:line="270" w:lineRule="exact"/>
              <w:jc w:val="both"/>
              <w:rPr>
                <w:rFonts w:hint="eastAsia"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补齐交通文旅短板，提升全域旅游可进入性与体验感。</w:t>
            </w:r>
          </w:p>
        </w:tc>
        <w:tc>
          <w:tcPr>
            <w:tcW w:w="3852" w:type="dxa"/>
            <w:vAlign w:val="center"/>
          </w:tcPr>
          <w:p w14:paraId="33AB0223">
            <w:pPr>
              <w:widowControl/>
              <w:spacing w:line="270" w:lineRule="exact"/>
              <w:jc w:val="both"/>
              <w:rPr>
                <w:rFonts w:hint="eastAsia"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依托那拉高速、G109、G317干线路网提质升级，G317起四川终那曲延伸至阿里，畅通高原风光旅游主干线路网。持续完善沿线驿站、观景平台、配套服务设施，全域景区通达性、旅游舒适度、服务标准化水平全面提升。</w:t>
            </w:r>
          </w:p>
        </w:tc>
      </w:tr>
    </w:tbl>
    <w:p w14:paraId="6C93CAD4">
      <w:pPr>
        <w:pStyle w:val="27"/>
        <w:overflowPunct w:val="0"/>
        <w:spacing w:line="576" w:lineRule="exact"/>
        <w:ind w:firstLine="640" w:firstLineChars="200"/>
        <w:jc w:val="both"/>
        <w:rPr>
          <w:rFonts w:hint="eastAsia" w:ascii="Times New Roman" w:hAnsi="Times New Roman" w:eastAsia="方正仿宋简体" w:cs="方正仿宋简体"/>
          <w:bCs/>
          <w:sz w:val="32"/>
          <w:szCs w:val="28"/>
          <w:lang w:val="en-US" w:eastAsia="zh-CN"/>
        </w:rPr>
      </w:pPr>
      <w:bookmarkStart w:id="119" w:name="_Toc212558092"/>
      <w:bookmarkStart w:id="120" w:name="_Toc218422251"/>
      <w:r>
        <w:rPr>
          <w:rFonts w:hint="eastAsia" w:ascii="Times New Roman" w:hAnsi="Times New Roman" w:eastAsia="方正仿宋简体" w:cs="方正仿宋简体"/>
          <w:bCs/>
          <w:sz w:val="32"/>
          <w:szCs w:val="28"/>
          <w:lang w:val="en-US" w:eastAsia="zh-CN"/>
        </w:rPr>
        <w:t>全市生态文旅产业发展始终坚持生态为基、文化为魂、创新为要、富民为本的发展导向，依托稀缺极地资源，走差异化、特色化、融合化发展道路，实现生态保护、文化传承、产业增效、群众增收多维共赢。</w:t>
      </w:r>
      <w:r>
        <w:rPr>
          <w:rFonts w:hint="eastAsia" w:ascii="Times New Roman" w:hAnsi="Times New Roman" w:eastAsia="方正仿宋简体" w:cs="方正仿宋简体"/>
          <w:b/>
          <w:sz w:val="32"/>
          <w:szCs w:val="28"/>
          <w:lang w:val="en-US" w:eastAsia="zh-CN"/>
        </w:rPr>
        <w:t>一是</w:t>
      </w:r>
      <w:r>
        <w:rPr>
          <w:rFonts w:hint="eastAsia" w:ascii="Times New Roman" w:hAnsi="Times New Roman" w:eastAsia="方正仿宋简体" w:cs="方正仿宋简体"/>
          <w:bCs/>
          <w:sz w:val="32"/>
          <w:szCs w:val="28"/>
          <w:lang w:val="en-US" w:eastAsia="zh-CN"/>
        </w:rPr>
        <w:t>坚持传统节庆迭代创新，激活文旅消费活力。深度盘活国家级非遗恰青赛马节核心IP，在保留传统马术竞技、民俗展演、赛事评比等经典内容基础上，有机融入现代文旅业态，丰富节庆消费场景、提升年轻客群吸引力，以节庆流量撬动全域文旅经济提质增效；</w:t>
      </w:r>
      <w:r>
        <w:rPr>
          <w:rFonts w:hint="eastAsia" w:ascii="Times New Roman" w:hAnsi="Times New Roman" w:eastAsia="方正仿宋简体" w:cs="方正仿宋简体"/>
          <w:b/>
          <w:sz w:val="32"/>
          <w:szCs w:val="28"/>
          <w:lang w:val="en-US" w:eastAsia="zh-CN"/>
        </w:rPr>
        <w:t>二是</w:t>
      </w:r>
      <w:r>
        <w:rPr>
          <w:rFonts w:hint="eastAsia" w:ascii="Times New Roman" w:hAnsi="Times New Roman" w:eastAsia="方正仿宋简体" w:cs="方正仿宋简体"/>
          <w:bCs/>
          <w:sz w:val="32"/>
          <w:szCs w:val="28"/>
          <w:lang w:val="en-US" w:eastAsia="zh-CN"/>
        </w:rPr>
        <w:t>坚持文旅赋能乡村振兴，拓宽富民增收渠道。大力推广“景区带村、业态带人、民宿富民”发展模式，培育藏式民宿、民俗体验、乡村研学等乡村文旅业态。以尼玛县文部南村为示范，培育发展家庭旅馆集群，累计发展民宿30家，年接待游客1.2万余人次、营业收入超330万元，有效带动周边群众就近就业、抱团发展、共同致富；</w:t>
      </w:r>
      <w:r>
        <w:rPr>
          <w:rFonts w:hint="eastAsia" w:ascii="Times New Roman" w:hAnsi="Times New Roman" w:eastAsia="方正仿宋简体" w:cs="方正仿宋简体"/>
          <w:b/>
          <w:sz w:val="32"/>
          <w:szCs w:val="28"/>
          <w:lang w:val="en-US" w:eastAsia="zh-CN"/>
        </w:rPr>
        <w:t>三是</w:t>
      </w:r>
      <w:r>
        <w:rPr>
          <w:rFonts w:hint="eastAsia" w:ascii="Times New Roman" w:hAnsi="Times New Roman" w:eastAsia="方正仿宋简体" w:cs="方正仿宋简体"/>
          <w:bCs/>
          <w:sz w:val="32"/>
          <w:szCs w:val="28"/>
          <w:lang w:val="en-US" w:eastAsia="zh-CN"/>
        </w:rPr>
        <w:t>坚持基础设施固本强基，夯实产业发展底盘。持续加大文旅基础设施投入力度，依托高速、国道干线路网升级，打通全域旅游交通脉络，串联核心景区、民俗村落、文旅驿站，完善全域旅游服务体系，持续优化“拉萨—那曲”高原风光精品旅游线路，全面提升藏北文旅产业核心竞争力与可持续发展能力。</w:t>
      </w:r>
    </w:p>
    <w:p w14:paraId="7CD921D2">
      <w:pPr>
        <w:pStyle w:val="8"/>
        <w:overflowPunct w:val="0"/>
        <w:topLinePunct/>
        <w:autoSpaceDE/>
        <w:autoSpaceDN/>
        <w:spacing w:before="0" w:line="576" w:lineRule="exact"/>
        <w:ind w:left="0" w:firstLine="640" w:firstLineChars="200"/>
        <w:jc w:val="both"/>
        <w:outlineLvl w:val="1"/>
        <w:rPr>
          <w:rFonts w:hint="eastAsia" w:ascii="Times New Roman" w:hAnsi="Times New Roman" w:eastAsia="方正楷体简体" w:cs="方正仿宋简体"/>
          <w:sz w:val="32"/>
          <w:szCs w:val="32"/>
        </w:rPr>
      </w:pPr>
      <w:bookmarkStart w:id="121" w:name="_Toc243241428"/>
      <w:r>
        <w:rPr>
          <w:rFonts w:hint="eastAsia" w:ascii="Times New Roman" w:hAnsi="Times New Roman" w:eastAsia="方正楷体简体" w:cs="方正仿宋简体"/>
          <w:sz w:val="32"/>
          <w:szCs w:val="32"/>
        </w:rPr>
        <w:t>（五）绿色矿产业</w:t>
      </w:r>
      <w:bookmarkEnd w:id="119"/>
      <w:bookmarkEnd w:id="120"/>
      <w:bookmarkEnd w:id="121"/>
    </w:p>
    <w:p w14:paraId="30F36A67">
      <w:pPr>
        <w:pStyle w:val="27"/>
        <w:overflowPunct w:val="0"/>
        <w:spacing w:line="576" w:lineRule="exact"/>
        <w:ind w:firstLine="640" w:firstLineChars="200"/>
        <w:jc w:val="both"/>
        <w:rPr>
          <w:rFonts w:hint="eastAsia" w:ascii="Times New Roman" w:hAnsi="Times New Roman" w:eastAsia="方正仿宋简体" w:cs="方正仿宋简体"/>
          <w:bCs/>
          <w:sz w:val="32"/>
          <w:szCs w:val="28"/>
          <w:lang w:val="en-US"/>
        </w:rPr>
      </w:pPr>
      <w:r>
        <w:rPr>
          <w:rFonts w:hint="eastAsia" w:ascii="Times New Roman" w:hAnsi="Times New Roman" w:eastAsia="方正仿宋简体" w:cs="方正仿宋简体"/>
          <w:bCs/>
          <w:sz w:val="32"/>
          <w:szCs w:val="28"/>
          <w:lang w:val="en-US" w:eastAsia="zh-CN"/>
        </w:rPr>
        <w:t>那曲</w:t>
      </w:r>
      <w:r>
        <w:rPr>
          <w:rFonts w:hint="eastAsia" w:ascii="Times New Roman" w:hAnsi="Times New Roman" w:eastAsia="方正仿宋简体" w:cs="方正仿宋简体"/>
          <w:bCs/>
          <w:sz w:val="32"/>
          <w:szCs w:val="28"/>
          <w:lang w:val="en-US"/>
        </w:rPr>
        <w:t>市矿产资源禀赋优越、品类丰富，尤</w:t>
      </w:r>
      <w:r>
        <w:rPr>
          <w:rFonts w:hint="eastAsia" w:ascii="Times New Roman" w:hAnsi="Times New Roman" w:eastAsia="方正仿宋简体" w:cs="方正仿宋简体"/>
          <w:bCs/>
          <w:sz w:val="32"/>
          <w:szCs w:val="28"/>
          <w:lang w:val="en-US" w:eastAsia="zh-CN"/>
        </w:rPr>
        <w:t>其是</w:t>
      </w:r>
      <w:r>
        <w:rPr>
          <w:rFonts w:hint="eastAsia" w:ascii="Times New Roman" w:hAnsi="Times New Roman" w:eastAsia="方正仿宋简体" w:cs="方正仿宋简体"/>
          <w:bCs/>
          <w:sz w:val="32"/>
          <w:szCs w:val="28"/>
          <w:lang w:val="en-US"/>
        </w:rPr>
        <w:t>盐湖锂等</w:t>
      </w:r>
      <w:r>
        <w:rPr>
          <w:rFonts w:hint="eastAsia" w:ascii="Times New Roman" w:hAnsi="Times New Roman" w:eastAsia="方正仿宋简体" w:cs="方正仿宋简体"/>
          <w:bCs/>
          <w:sz w:val="32"/>
          <w:szCs w:val="28"/>
          <w:lang w:val="en-US" w:eastAsia="zh-CN"/>
        </w:rPr>
        <w:t>战略性矿产资源</w:t>
      </w:r>
      <w:r>
        <w:rPr>
          <w:rFonts w:hint="eastAsia" w:ascii="Times New Roman" w:hAnsi="Times New Roman" w:eastAsia="方正仿宋简体" w:cs="方正仿宋简体"/>
          <w:bCs/>
          <w:sz w:val="32"/>
          <w:szCs w:val="28"/>
          <w:lang w:val="en-US"/>
        </w:rPr>
        <w:t>富集度高、开发价值突出，是全市潜力型特色产业的重要支撑板块。</w:t>
      </w:r>
      <w:r>
        <w:rPr>
          <w:rFonts w:hint="eastAsia" w:ascii="Times New Roman" w:hAnsi="Times New Roman" w:eastAsia="方正仿宋简体" w:cs="方正仿宋简体"/>
          <w:bCs/>
          <w:sz w:val="32"/>
          <w:szCs w:val="28"/>
          <w:lang w:val="en-US" w:eastAsia="zh-CN"/>
        </w:rPr>
        <w:t>立足国家战略性资源安全保障布局和自治区绿色矿业发展总体要求</w:t>
      </w:r>
      <w:r>
        <w:rPr>
          <w:rFonts w:hint="eastAsia" w:ascii="Times New Roman" w:hAnsi="Times New Roman" w:eastAsia="方正仿宋简体" w:cs="方正仿宋简体"/>
          <w:bCs/>
          <w:sz w:val="32"/>
          <w:szCs w:val="28"/>
          <w:lang w:val="en-US"/>
        </w:rPr>
        <w:t>，</w:t>
      </w:r>
      <w:r>
        <w:rPr>
          <w:rFonts w:hint="eastAsia" w:ascii="Times New Roman" w:hAnsi="Times New Roman" w:eastAsia="方正仿宋简体" w:cs="方正仿宋简体"/>
          <w:bCs/>
          <w:sz w:val="32"/>
          <w:szCs w:val="28"/>
          <w:lang w:val="en-US" w:eastAsia="zh-CN"/>
        </w:rPr>
        <w:t>那曲市始终坚守生态优先底线</w:t>
      </w:r>
      <w:r>
        <w:rPr>
          <w:rFonts w:hint="eastAsia" w:ascii="Times New Roman" w:hAnsi="Times New Roman" w:eastAsia="方正仿宋简体" w:cs="方正仿宋简体"/>
          <w:bCs/>
          <w:sz w:val="32"/>
          <w:szCs w:val="28"/>
          <w:lang w:val="en-US"/>
        </w:rPr>
        <w:t>，严格遵循绿色矿山建设标准，</w:t>
      </w:r>
      <w:r>
        <w:rPr>
          <w:rFonts w:hint="eastAsia" w:ascii="Times New Roman" w:hAnsi="Times New Roman" w:eastAsia="方正仿宋简体" w:cs="方正仿宋简体"/>
          <w:bCs/>
          <w:sz w:val="32"/>
          <w:szCs w:val="28"/>
          <w:lang w:val="en-US" w:eastAsia="zh-CN"/>
        </w:rPr>
        <w:t>持续</w:t>
      </w:r>
      <w:r>
        <w:rPr>
          <w:rFonts w:hint="eastAsia" w:ascii="Times New Roman" w:hAnsi="Times New Roman" w:eastAsia="方正仿宋简体" w:cs="方正仿宋简体"/>
          <w:bCs/>
          <w:sz w:val="32"/>
          <w:szCs w:val="28"/>
          <w:lang w:val="en-US"/>
        </w:rPr>
        <w:t>坚持科学有序、适度可控、绿色高效</w:t>
      </w:r>
      <w:r>
        <w:rPr>
          <w:rFonts w:hint="eastAsia" w:ascii="Times New Roman" w:hAnsi="Times New Roman" w:eastAsia="方正仿宋简体" w:cs="方正仿宋简体"/>
          <w:bCs/>
          <w:sz w:val="32"/>
          <w:szCs w:val="28"/>
          <w:lang w:val="en-US" w:eastAsia="zh-CN"/>
        </w:rPr>
        <w:t>的</w:t>
      </w:r>
      <w:r>
        <w:rPr>
          <w:rFonts w:hint="eastAsia" w:ascii="Times New Roman" w:hAnsi="Times New Roman" w:eastAsia="方正仿宋简体" w:cs="方正仿宋简体"/>
          <w:bCs/>
          <w:sz w:val="32"/>
          <w:szCs w:val="28"/>
          <w:lang w:val="en-US"/>
        </w:rPr>
        <w:t>开发原则，统筹资源开发、生态治理、产业提质，稳步推进高寒绿色矿业体系建设，推动矿产资源优势有序转化为区域高质量发展优势。</w:t>
      </w:r>
    </w:p>
    <w:p w14:paraId="0545C7AA">
      <w:pPr>
        <w:spacing w:line="576" w:lineRule="exact"/>
        <w:jc w:val="center"/>
        <w:rPr>
          <w:rFonts w:ascii="Times New Roman" w:hAnsi="Times New Roman" w:eastAsia="方正仿宋简体" w:cs="方正仿宋简体"/>
          <w:b/>
          <w:sz w:val="32"/>
          <w:szCs w:val="32"/>
          <w:lang w:eastAsia="zh-CN"/>
        </w:rPr>
      </w:pPr>
      <w:r>
        <w:rPr>
          <w:rFonts w:hint="eastAsia" w:ascii="Times New Roman" w:hAnsi="Times New Roman" w:eastAsia="方正仿宋简体" w:cs="方正仿宋简体"/>
          <w:b/>
          <w:sz w:val="32"/>
          <w:szCs w:val="32"/>
          <w:lang w:eastAsia="zh-CN"/>
        </w:rPr>
        <w:t>绿色矿</w:t>
      </w:r>
      <w:r>
        <w:rPr>
          <w:rFonts w:ascii="Times New Roman" w:hAnsi="Times New Roman" w:eastAsia="方正仿宋简体" w:cs="方正仿宋简体"/>
          <w:b/>
          <w:sz w:val="32"/>
          <w:szCs w:val="32"/>
          <w:lang w:eastAsia="zh-CN"/>
        </w:rPr>
        <w:t>产业发展核心举措及成效一览表</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4"/>
        <w:gridCol w:w="2264"/>
        <w:gridCol w:w="4720"/>
      </w:tblGrid>
      <w:tr w14:paraId="7E2E6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834" w:type="dxa"/>
            <w:vAlign w:val="center"/>
          </w:tcPr>
          <w:p w14:paraId="61097ADB">
            <w:pPr>
              <w:widowControl/>
              <w:spacing w:line="352"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分析维度</w:t>
            </w:r>
          </w:p>
        </w:tc>
        <w:tc>
          <w:tcPr>
            <w:tcW w:w="2264" w:type="dxa"/>
            <w:vAlign w:val="center"/>
          </w:tcPr>
          <w:p w14:paraId="43BB02F1">
            <w:pPr>
              <w:widowControl/>
              <w:spacing w:line="352" w:lineRule="exact"/>
              <w:jc w:val="center"/>
              <w:rPr>
                <w:rFonts w:ascii="Times New Roman" w:hAnsi="Times New Roman" w:eastAsia="方正仿宋简体" w:cs="方正仿宋简体"/>
                <w:b/>
                <w:sz w:val="24"/>
                <w:szCs w:val="24"/>
                <w:lang w:val="en-US" w:eastAsia="zh-CN"/>
              </w:rPr>
            </w:pPr>
            <w:r>
              <w:rPr>
                <w:rFonts w:ascii="Times New Roman" w:hAnsi="Times New Roman" w:eastAsia="方正仿宋简体" w:cs="方正仿宋简体"/>
                <w:b/>
                <w:sz w:val="24"/>
                <w:szCs w:val="24"/>
                <w:lang w:val="en-US" w:eastAsia="zh-CN"/>
              </w:rPr>
              <w:t>核心实施策略</w:t>
            </w:r>
          </w:p>
        </w:tc>
        <w:tc>
          <w:tcPr>
            <w:tcW w:w="4720" w:type="dxa"/>
            <w:vAlign w:val="center"/>
          </w:tcPr>
          <w:p w14:paraId="786CBA27">
            <w:pPr>
              <w:widowControl/>
              <w:spacing w:line="352" w:lineRule="exact"/>
              <w:jc w:val="center"/>
              <w:rPr>
                <w:rFonts w:ascii="Times New Roman" w:hAnsi="Times New Roman" w:eastAsia="方正仿宋简体" w:cs="方正仿宋简体"/>
                <w:b/>
                <w:sz w:val="24"/>
                <w:szCs w:val="24"/>
                <w:lang w:eastAsia="zh-CN"/>
              </w:rPr>
            </w:pPr>
            <w:r>
              <w:rPr>
                <w:rFonts w:ascii="Times New Roman" w:hAnsi="Times New Roman" w:eastAsia="方正仿宋简体" w:cs="方正仿宋简体"/>
                <w:b/>
                <w:sz w:val="24"/>
                <w:szCs w:val="24"/>
                <w:lang w:val="en-US" w:eastAsia="zh-CN"/>
              </w:rPr>
              <w:t>落地举措与发展成效</w:t>
            </w:r>
          </w:p>
        </w:tc>
      </w:tr>
      <w:tr w14:paraId="2A88E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1" w:hRule="atLeast"/>
        </w:trPr>
        <w:tc>
          <w:tcPr>
            <w:tcW w:w="1834" w:type="dxa"/>
            <w:vAlign w:val="center"/>
          </w:tcPr>
          <w:p w14:paraId="55ED0DAC">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val="en-US" w:eastAsia="zh-CN"/>
              </w:rPr>
              <w:t>资源基底建设</w:t>
            </w:r>
          </w:p>
        </w:tc>
        <w:tc>
          <w:tcPr>
            <w:tcW w:w="2264" w:type="dxa"/>
            <w:vAlign w:val="center"/>
          </w:tcPr>
          <w:p w14:paraId="02325A3A">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val="en-US" w:eastAsia="zh-CN"/>
              </w:rPr>
              <w:t>系统摸排战略性矿产资源，夯实产业发展基础。</w:t>
            </w:r>
          </w:p>
        </w:tc>
        <w:tc>
          <w:tcPr>
            <w:tcW w:w="4720" w:type="dxa"/>
            <w:vAlign w:val="center"/>
          </w:tcPr>
          <w:p w14:paraId="60BC1545">
            <w:pPr>
              <w:widowControl/>
              <w:spacing w:line="270" w:lineRule="exact"/>
              <w:jc w:val="both"/>
              <w:rPr>
                <w:rFonts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那曲已探明各类矿床、矿点及矿化点数量众多，矿产资源储备充足，其中班嘎错盐湖锂资源禀赋优良、开发潜力巨大，是全市绿色矿业核心支撑资源，为战略矿产有序开发提供坚实资源保障。班嘎错、当雄错开发项目积极推进中。</w:t>
            </w:r>
          </w:p>
        </w:tc>
      </w:tr>
      <w:tr w14:paraId="10ED6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1" w:hRule="atLeast"/>
        </w:trPr>
        <w:tc>
          <w:tcPr>
            <w:tcW w:w="1834" w:type="dxa"/>
            <w:vAlign w:val="center"/>
          </w:tcPr>
          <w:p w14:paraId="61EEABA8">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val="en-US" w:eastAsia="zh-CN"/>
              </w:rPr>
              <w:t>绿色发展理念</w:t>
            </w:r>
          </w:p>
        </w:tc>
        <w:tc>
          <w:tcPr>
            <w:tcW w:w="2264" w:type="dxa"/>
            <w:vAlign w:val="center"/>
          </w:tcPr>
          <w:p w14:paraId="1C3C3130">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val="en-US" w:eastAsia="zh-CN"/>
              </w:rPr>
              <w:t>坚守生态优先原则，健全绿色开发管控体系。</w:t>
            </w:r>
          </w:p>
        </w:tc>
        <w:tc>
          <w:tcPr>
            <w:tcW w:w="4720" w:type="dxa"/>
            <w:vAlign w:val="center"/>
          </w:tcPr>
          <w:p w14:paraId="4C37BA28">
            <w:pPr>
              <w:widowControl/>
              <w:spacing w:line="270" w:lineRule="exact"/>
              <w:jc w:val="both"/>
              <w:rPr>
                <w:rFonts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全面践行绿水青山就是金山银山理念，严格落实矿产资源开发管控规划，严守生态保护红线，常态化推进绿色矿山创建，坚持“开发一片、稳定一片、治理一片、恢复一片”，构建资源开发与生态保护协同共生机制</w:t>
            </w:r>
            <w:r>
              <w:rPr>
                <w:rFonts w:hint="eastAsia" w:ascii="Times New Roman" w:hAnsi="Times New Roman" w:eastAsia="方正仿宋简体" w:cs="方正仿宋简体"/>
                <w:bCs/>
                <w:sz w:val="21"/>
                <w:szCs w:val="21"/>
                <w:lang w:eastAsia="zh-CN"/>
              </w:rPr>
              <w:t>。</w:t>
            </w:r>
          </w:p>
        </w:tc>
      </w:tr>
      <w:tr w14:paraId="46960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1" w:hRule="atLeast"/>
        </w:trPr>
        <w:tc>
          <w:tcPr>
            <w:tcW w:w="1834" w:type="dxa"/>
            <w:vAlign w:val="center"/>
          </w:tcPr>
          <w:p w14:paraId="7DC07F92">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val="en-US" w:eastAsia="zh-CN"/>
              </w:rPr>
              <w:t>产业开发推进</w:t>
            </w:r>
          </w:p>
        </w:tc>
        <w:tc>
          <w:tcPr>
            <w:tcW w:w="2264" w:type="dxa"/>
            <w:vAlign w:val="center"/>
          </w:tcPr>
          <w:p w14:paraId="5CEAFB79">
            <w:pPr>
              <w:widowControl/>
              <w:spacing w:line="270" w:lineRule="exact"/>
              <w:jc w:val="both"/>
              <w:rPr>
                <w:rFonts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坚持循序渐进开发，推动产业向中高端进阶</w:t>
            </w:r>
            <w:r>
              <w:rPr>
                <w:rFonts w:hint="eastAsia" w:ascii="Times New Roman" w:hAnsi="Times New Roman" w:eastAsia="方正仿宋简体" w:cs="方正仿宋简体"/>
                <w:bCs/>
                <w:sz w:val="21"/>
                <w:szCs w:val="21"/>
                <w:lang w:eastAsia="zh-CN"/>
              </w:rPr>
              <w:t>。</w:t>
            </w:r>
          </w:p>
        </w:tc>
        <w:tc>
          <w:tcPr>
            <w:tcW w:w="4720" w:type="dxa"/>
            <w:vAlign w:val="center"/>
          </w:tcPr>
          <w:p w14:paraId="3DBE3F7A">
            <w:pPr>
              <w:widowControl/>
              <w:spacing w:line="270" w:lineRule="exact"/>
              <w:jc w:val="both"/>
              <w:rPr>
                <w:rFonts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稳妥推进班嘎错盐湖锂资源开发利用，优先布局中试试验生产线，科学验证开发工艺、技术路径与经济效益，通过审慎化、阶段性开发模式积累实操经验，为后续规模化、规范化、产业化发展奠定基础。</w:t>
            </w:r>
          </w:p>
        </w:tc>
      </w:tr>
      <w:tr w14:paraId="34862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1" w:hRule="atLeast"/>
        </w:trPr>
        <w:tc>
          <w:tcPr>
            <w:tcW w:w="1834" w:type="dxa"/>
            <w:vAlign w:val="center"/>
          </w:tcPr>
          <w:p w14:paraId="03DAECDF">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val="en-US" w:eastAsia="zh-CN"/>
              </w:rPr>
              <w:t>生态修复治理</w:t>
            </w:r>
          </w:p>
        </w:tc>
        <w:tc>
          <w:tcPr>
            <w:tcW w:w="2264" w:type="dxa"/>
            <w:vAlign w:val="center"/>
          </w:tcPr>
          <w:p w14:paraId="00BDE98D">
            <w:pPr>
              <w:widowControl/>
              <w:spacing w:line="270" w:lineRule="exact"/>
              <w:jc w:val="both"/>
              <w:rPr>
                <w:rFonts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适配高寒生态特征，探索高原专属修复技术</w:t>
            </w:r>
            <w:r>
              <w:rPr>
                <w:rFonts w:hint="eastAsia" w:ascii="Times New Roman" w:hAnsi="Times New Roman" w:eastAsia="方正仿宋简体" w:cs="方正仿宋简体"/>
                <w:bCs/>
                <w:sz w:val="21"/>
                <w:szCs w:val="21"/>
                <w:lang w:eastAsia="zh-CN"/>
              </w:rPr>
              <w:t>。</w:t>
            </w:r>
          </w:p>
        </w:tc>
        <w:tc>
          <w:tcPr>
            <w:tcW w:w="4720" w:type="dxa"/>
            <w:vAlign w:val="center"/>
          </w:tcPr>
          <w:p w14:paraId="10B58517">
            <w:pPr>
              <w:widowControl/>
              <w:spacing w:line="270" w:lineRule="exact"/>
              <w:jc w:val="both"/>
              <w:rPr>
                <w:rFonts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针对高原生态脆弱、修复难度大的现实特点，因地制宜探索高寒矿区生态修复模式，推广客土改良、人工播撒草籽等适配技术，系统性推进矿区植被恢复、水土保持与生态治理，筑牢矿业绿色发展生态屏障。</w:t>
            </w:r>
          </w:p>
          <w:p w14:paraId="1EBF860C">
            <w:pPr>
              <w:widowControl/>
              <w:spacing w:line="270" w:lineRule="exact"/>
              <w:jc w:val="both"/>
              <w:rPr>
                <w:rFonts w:ascii="Times New Roman" w:hAnsi="Times New Roman" w:eastAsia="方正仿宋简体" w:cs="方正仿宋简体"/>
                <w:bCs/>
                <w:sz w:val="21"/>
                <w:szCs w:val="21"/>
                <w:lang w:val="en-US" w:eastAsia="zh-CN"/>
              </w:rPr>
            </w:pPr>
          </w:p>
        </w:tc>
      </w:tr>
      <w:tr w14:paraId="2C2F9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2" w:hRule="atLeast"/>
        </w:trPr>
        <w:tc>
          <w:tcPr>
            <w:tcW w:w="1834" w:type="dxa"/>
            <w:vAlign w:val="center"/>
          </w:tcPr>
          <w:p w14:paraId="1A5E4F11">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val="en-US" w:eastAsia="zh-CN"/>
              </w:rPr>
              <w:t>政策制度保障</w:t>
            </w:r>
          </w:p>
        </w:tc>
        <w:tc>
          <w:tcPr>
            <w:tcW w:w="2264" w:type="dxa"/>
            <w:vAlign w:val="center"/>
          </w:tcPr>
          <w:p w14:paraId="2F0C0D24">
            <w:pPr>
              <w:widowControl/>
              <w:spacing w:line="270" w:lineRule="exact"/>
              <w:jc w:val="both"/>
              <w:rPr>
                <w:rFonts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依托上位政策体系，规范产业发展秩序</w:t>
            </w:r>
            <w:r>
              <w:rPr>
                <w:rFonts w:hint="eastAsia" w:ascii="Times New Roman" w:hAnsi="Times New Roman" w:eastAsia="方正仿宋简体" w:cs="方正仿宋简体"/>
                <w:bCs/>
                <w:sz w:val="21"/>
                <w:szCs w:val="21"/>
                <w:lang w:eastAsia="zh-CN"/>
              </w:rPr>
              <w:t>。</w:t>
            </w:r>
          </w:p>
        </w:tc>
        <w:tc>
          <w:tcPr>
            <w:tcW w:w="4720" w:type="dxa"/>
            <w:vAlign w:val="center"/>
          </w:tcPr>
          <w:p w14:paraId="7C60E49F">
            <w:pPr>
              <w:widowControl/>
              <w:spacing w:line="270" w:lineRule="exact"/>
              <w:jc w:val="both"/>
              <w:rPr>
                <w:rFonts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严格对标《关于进一步加强绿色矿山建设工作的通知》等法规政策，健全全市绿色矿业开发、治理、监管全流程标准体系，强化项目准入、建设管控、验收运维全链条监管，为产业规范有序、可持续发展提供制度支撑</w:t>
            </w:r>
            <w:r>
              <w:rPr>
                <w:rFonts w:hint="eastAsia" w:ascii="Times New Roman" w:hAnsi="Times New Roman" w:eastAsia="方正仿宋简体" w:cs="方正仿宋简体"/>
                <w:bCs/>
                <w:sz w:val="21"/>
                <w:szCs w:val="21"/>
                <w:lang w:eastAsia="zh-CN"/>
              </w:rPr>
              <w:t>。</w:t>
            </w:r>
          </w:p>
        </w:tc>
      </w:tr>
    </w:tbl>
    <w:p w14:paraId="388130A7">
      <w:pPr>
        <w:pStyle w:val="27"/>
        <w:overflowPunct w:val="0"/>
        <w:spacing w:line="576" w:lineRule="exact"/>
        <w:ind w:firstLine="640" w:firstLineChars="200"/>
        <w:jc w:val="both"/>
        <w:rPr>
          <w:rFonts w:hint="eastAsia" w:ascii="Times New Roman" w:hAnsi="Times New Roman" w:eastAsia="方正仿宋简体" w:cs="方正仿宋简体"/>
          <w:bCs/>
          <w:sz w:val="32"/>
          <w:szCs w:val="28"/>
          <w:lang w:val="en-US"/>
        </w:rPr>
      </w:pPr>
      <w:r>
        <w:rPr>
          <w:rFonts w:hint="eastAsia" w:ascii="Times New Roman" w:hAnsi="Times New Roman" w:eastAsia="方正仿宋简体" w:cs="方正仿宋简体"/>
          <w:bCs/>
          <w:sz w:val="32"/>
          <w:szCs w:val="28"/>
          <w:lang w:val="en-US" w:eastAsia="zh-CN"/>
        </w:rPr>
        <w:t>全市绿色矿产业发展始终坚持生态优先、有序开发、科技赋能、绿色增效发展导向，严守高原生态保护红线，统筹资源战略保障与区域经济发展，走出一条适配藏北高原的绿色可持续矿业发展路径。</w:t>
      </w:r>
      <w:r>
        <w:rPr>
          <w:rFonts w:hint="eastAsia" w:ascii="Times New Roman" w:hAnsi="Times New Roman" w:eastAsia="方正仿宋简体" w:cs="方正仿宋简体"/>
          <w:b/>
          <w:sz w:val="32"/>
          <w:szCs w:val="28"/>
          <w:lang w:val="en-US" w:eastAsia="zh-CN"/>
        </w:rPr>
        <w:t>一是</w:t>
      </w:r>
      <w:r>
        <w:rPr>
          <w:rFonts w:hint="eastAsia" w:ascii="Times New Roman" w:hAnsi="Times New Roman" w:eastAsia="方正仿宋简体" w:cs="方正仿宋简体"/>
          <w:bCs/>
          <w:sz w:val="32"/>
          <w:szCs w:val="28"/>
          <w:lang w:val="en-US" w:eastAsia="zh-CN"/>
        </w:rPr>
        <w:t>坚持</w:t>
      </w:r>
      <w:r>
        <w:rPr>
          <w:rFonts w:hint="eastAsia" w:ascii="Times New Roman" w:hAnsi="Times New Roman" w:eastAsia="方正仿宋简体" w:cs="方正仿宋简体"/>
          <w:bCs/>
          <w:sz w:val="32"/>
          <w:szCs w:val="28"/>
          <w:lang w:val="en-US"/>
        </w:rPr>
        <w:t>审慎开发，筑牢战略资源发展根基。锂资源作为国家重点战略性矿产资源，事关新能源产业发展与国家资源安全。</w:t>
      </w:r>
      <w:r>
        <w:rPr>
          <w:rFonts w:hint="eastAsia" w:ascii="Times New Roman" w:hAnsi="Times New Roman" w:eastAsia="方正仿宋简体" w:cs="方正仿宋简体"/>
          <w:bCs/>
          <w:sz w:val="32"/>
          <w:szCs w:val="28"/>
          <w:lang w:val="en-US" w:eastAsia="zh-CN"/>
        </w:rPr>
        <w:t>那曲</w:t>
      </w:r>
      <w:r>
        <w:rPr>
          <w:rFonts w:hint="eastAsia" w:ascii="Times New Roman" w:hAnsi="Times New Roman" w:eastAsia="方正仿宋简体" w:cs="方正仿宋简体"/>
          <w:bCs/>
          <w:sz w:val="32"/>
          <w:szCs w:val="28"/>
          <w:lang w:val="en-US"/>
        </w:rPr>
        <w:t>市坚持稳中求进开发思路，依托班嘎错盐湖优质资源，布局建设年产2000吨氯化锂中试生产线，通过工艺试验、数据积累、效益研判科学验证产业化路径，以循序渐进、严谨可控的开发模式实现资源高效、安全、绿色利用；</w:t>
      </w:r>
      <w:r>
        <w:rPr>
          <w:rFonts w:hint="eastAsia" w:ascii="Times New Roman" w:hAnsi="Times New Roman" w:eastAsia="方正仿宋简体" w:cs="方正仿宋简体"/>
          <w:b/>
          <w:sz w:val="32"/>
          <w:szCs w:val="28"/>
          <w:lang w:val="en-US"/>
        </w:rPr>
        <w:t>二是</w:t>
      </w:r>
      <w:r>
        <w:rPr>
          <w:rFonts w:hint="eastAsia" w:ascii="Times New Roman" w:hAnsi="Times New Roman" w:eastAsia="方正仿宋简体" w:cs="方正仿宋简体"/>
          <w:bCs/>
          <w:sz w:val="32"/>
          <w:szCs w:val="28"/>
          <w:lang w:val="en-US"/>
        </w:rPr>
        <w:t>坚持生态为本，构建高原修复治理体系。立足那曲高寒、干旱、</w:t>
      </w:r>
      <w:r>
        <w:rPr>
          <w:rFonts w:hint="eastAsia" w:ascii="Times New Roman" w:hAnsi="Times New Roman" w:eastAsia="方正仿宋简体" w:cs="方正仿宋简体"/>
          <w:bCs/>
          <w:sz w:val="32"/>
          <w:szCs w:val="28"/>
          <w:lang w:val="en-US" w:eastAsia="zh-CN"/>
        </w:rPr>
        <w:t>生态极度脆弱的实际</w:t>
      </w:r>
      <w:r>
        <w:rPr>
          <w:rFonts w:hint="eastAsia" w:ascii="Times New Roman" w:hAnsi="Times New Roman" w:eastAsia="方正仿宋简体" w:cs="方正仿宋简体"/>
          <w:bCs/>
          <w:sz w:val="32"/>
          <w:szCs w:val="28"/>
          <w:lang w:val="en-US"/>
        </w:rPr>
        <w:t>，摒弃粗放式开发模式，针对性探索适配高海拔矿区的生态修复技术，常态化开展矿区植被恢复与生态综合治理，实现矿产开发、生态修复、环境提升同步推进，守住生态安全底线；</w:t>
      </w:r>
      <w:r>
        <w:rPr>
          <w:rFonts w:hint="eastAsia" w:ascii="Times New Roman" w:hAnsi="Times New Roman" w:eastAsia="方正仿宋简体" w:cs="方正仿宋简体"/>
          <w:b/>
          <w:sz w:val="32"/>
          <w:szCs w:val="28"/>
          <w:lang w:val="en-US" w:eastAsia="zh-CN"/>
        </w:rPr>
        <w:t>三是</w:t>
      </w:r>
      <w:r>
        <w:rPr>
          <w:rFonts w:hint="eastAsia" w:ascii="Times New Roman" w:hAnsi="Times New Roman" w:eastAsia="方正仿宋简体" w:cs="方正仿宋简体"/>
          <w:bCs/>
          <w:sz w:val="32"/>
          <w:szCs w:val="28"/>
          <w:lang w:val="en-US" w:eastAsia="zh-CN"/>
        </w:rPr>
        <w:t>坚持政策赋能</w:t>
      </w:r>
      <w:r>
        <w:rPr>
          <w:rFonts w:hint="eastAsia" w:ascii="Times New Roman" w:hAnsi="Times New Roman" w:eastAsia="方正仿宋简体" w:cs="方正仿宋简体"/>
          <w:bCs/>
          <w:sz w:val="32"/>
          <w:szCs w:val="28"/>
          <w:lang w:val="en-US"/>
        </w:rPr>
        <w:t>，规范产业高质量发展路径。严格落实自治区绿色矿山建设、矿产资源管控等系列政策标准，健全项目准入、开发建设、生态治理、长效监管全流程制度体系，以制度化、标准化管控推动矿产资源开发由粗放式增量向绿色化提质、精细化增效转型，</w:t>
      </w:r>
      <w:r>
        <w:rPr>
          <w:rFonts w:hint="eastAsia" w:ascii="Times New Roman" w:hAnsi="Times New Roman" w:eastAsia="方正仿宋简体" w:cs="方正仿宋简体"/>
          <w:bCs/>
          <w:sz w:val="32"/>
          <w:szCs w:val="28"/>
          <w:lang w:val="en-US" w:eastAsia="zh-CN"/>
        </w:rPr>
        <w:t>持续释放战略资源赋能区域高质量发展的积极作用</w:t>
      </w:r>
      <w:r>
        <w:rPr>
          <w:rFonts w:hint="eastAsia" w:ascii="Times New Roman" w:hAnsi="Times New Roman" w:eastAsia="方正仿宋简体" w:cs="方正仿宋简体"/>
          <w:bCs/>
          <w:sz w:val="32"/>
          <w:szCs w:val="28"/>
          <w:lang w:val="en-US"/>
        </w:rPr>
        <w:t>。</w:t>
      </w:r>
    </w:p>
    <w:p w14:paraId="4F344EC8">
      <w:pPr>
        <w:pStyle w:val="8"/>
        <w:overflowPunct w:val="0"/>
        <w:topLinePunct/>
        <w:autoSpaceDE/>
        <w:autoSpaceDN/>
        <w:spacing w:before="0" w:line="576" w:lineRule="exact"/>
        <w:ind w:left="0" w:firstLine="640" w:firstLineChars="200"/>
        <w:jc w:val="both"/>
        <w:outlineLvl w:val="1"/>
        <w:rPr>
          <w:rFonts w:ascii="Times New Roman" w:hAnsi="Times New Roman" w:eastAsia="方正仿宋简体" w:cs="方正仿宋简体"/>
          <w:bCs/>
          <w:sz w:val="32"/>
          <w:szCs w:val="28"/>
        </w:rPr>
      </w:pPr>
      <w:bookmarkStart w:id="122" w:name="_Toc212558093"/>
      <w:bookmarkStart w:id="123" w:name="_Toc243241429"/>
      <w:bookmarkStart w:id="124" w:name="_Toc218422252"/>
      <w:r>
        <w:rPr>
          <w:rFonts w:hint="eastAsia" w:ascii="Times New Roman" w:hAnsi="Times New Roman" w:eastAsia="方正楷体简体" w:cs="方正楷体简体"/>
          <w:sz w:val="32"/>
          <w:szCs w:val="32"/>
        </w:rPr>
        <w:t>（六）交通物流产业</w:t>
      </w:r>
      <w:bookmarkEnd w:id="122"/>
      <w:bookmarkEnd w:id="123"/>
      <w:bookmarkEnd w:id="124"/>
    </w:p>
    <w:p w14:paraId="24BF3FE0">
      <w:pPr>
        <w:pStyle w:val="27"/>
        <w:overflowPunct w:val="0"/>
        <w:spacing w:line="576" w:lineRule="exact"/>
        <w:ind w:firstLine="640" w:firstLineChars="200"/>
        <w:jc w:val="both"/>
        <w:rPr>
          <w:rFonts w:ascii="Times New Roman" w:hAnsi="Times New Roman" w:eastAsia="方正仿宋简体" w:cs="方正仿宋简体"/>
          <w:bCs/>
          <w:sz w:val="32"/>
          <w:szCs w:val="28"/>
          <w:lang w:eastAsia="zh-CN"/>
        </w:rPr>
      </w:pPr>
      <w:r>
        <w:rPr>
          <w:rFonts w:ascii="Times New Roman" w:hAnsi="Times New Roman" w:eastAsia="方正仿宋简体" w:cs="方正仿宋简体"/>
          <w:bCs/>
          <w:sz w:val="32"/>
          <w:szCs w:val="28"/>
        </w:rPr>
        <w:t>那曲地处藏北腹地，是西藏北向门户、藏北综合交通枢纽，区位通道优势突出。全市统筹公路、铁路、通信网络协同建设，</w:t>
      </w:r>
      <w:r>
        <w:rPr>
          <w:rFonts w:ascii="Times New Roman" w:hAnsi="Times New Roman" w:eastAsia="方正仿宋简体" w:cs="方正仿宋简体"/>
          <w:bCs/>
          <w:sz w:val="32"/>
          <w:szCs w:val="28"/>
          <w:lang w:val="en-US"/>
        </w:rPr>
        <w:t>建成多层次现代化综合交通物流体系</w:t>
      </w:r>
      <w:r>
        <w:rPr>
          <w:rFonts w:ascii="Times New Roman" w:hAnsi="Times New Roman" w:eastAsia="方正仿宋简体" w:cs="方正仿宋简体"/>
          <w:bCs/>
          <w:sz w:val="32"/>
          <w:szCs w:val="28"/>
        </w:rPr>
        <w:t>，既是支撑</w:t>
      </w:r>
      <w:bookmarkStart w:id="125" w:name="OLE_LINK155"/>
      <w:r>
        <w:rPr>
          <w:rFonts w:hint="eastAsia" w:ascii="Times New Roman" w:hAnsi="Times New Roman" w:eastAsia="方正仿宋简体" w:cs="方正仿宋简体"/>
          <w:bCs/>
          <w:sz w:val="32"/>
          <w:szCs w:val="28"/>
        </w:rPr>
        <w:t>那曲</w:t>
      </w:r>
      <w:bookmarkEnd w:id="125"/>
      <w:r>
        <w:rPr>
          <w:rFonts w:ascii="Times New Roman" w:hAnsi="Times New Roman" w:eastAsia="方正仿宋简体" w:cs="方正仿宋简体"/>
          <w:bCs/>
          <w:sz w:val="32"/>
          <w:szCs w:val="28"/>
        </w:rPr>
        <w:t>特色产业发展的流通底座，也是联通内地、衔接南亚市场的关键中转节点，物流集聚辐射能力持续增强。</w:t>
      </w:r>
    </w:p>
    <w:p w14:paraId="7F007101">
      <w:pPr>
        <w:pStyle w:val="27"/>
        <w:overflowPunct w:val="0"/>
        <w:spacing w:line="576" w:lineRule="exact"/>
        <w:ind w:firstLine="640" w:firstLineChars="200"/>
        <w:jc w:val="both"/>
        <w:rPr>
          <w:rFonts w:hint="eastAsia" w:ascii="Times New Roman" w:hAnsi="Times New Roman" w:eastAsia="方正仿宋简体" w:cs="方正仿宋简体"/>
          <w:bCs/>
          <w:sz w:val="32"/>
          <w:szCs w:val="28"/>
          <w:lang w:val="en-US" w:eastAsia="zh-CN"/>
        </w:rPr>
      </w:pPr>
    </w:p>
    <w:p w14:paraId="58023975">
      <w:pPr>
        <w:spacing w:line="576" w:lineRule="exact"/>
        <w:jc w:val="center"/>
        <w:rPr>
          <w:rFonts w:ascii="Times New Roman" w:hAnsi="Times New Roman" w:eastAsia="方正仿宋简体" w:cs="方正仿宋简体"/>
          <w:b/>
          <w:sz w:val="32"/>
          <w:szCs w:val="32"/>
          <w:lang w:eastAsia="zh-CN"/>
        </w:rPr>
      </w:pPr>
      <w:bookmarkStart w:id="126" w:name="OLE_LINK6"/>
      <w:r>
        <w:rPr>
          <w:rFonts w:ascii="Times New Roman" w:hAnsi="Times New Roman" w:eastAsia="方正仿宋简体" w:cs="方正仿宋简体"/>
          <w:b/>
          <w:sz w:val="32"/>
          <w:szCs w:val="32"/>
          <w:lang w:eastAsia="zh-CN"/>
        </w:rPr>
        <w:t>交通物流产业发展核心举</w:t>
      </w:r>
      <w:bookmarkStart w:id="127" w:name="OLE_LINK112"/>
      <w:r>
        <w:rPr>
          <w:rFonts w:ascii="Times New Roman" w:hAnsi="Times New Roman" w:eastAsia="方正仿宋简体" w:cs="方正仿宋简体"/>
          <w:b/>
          <w:sz w:val="32"/>
          <w:szCs w:val="32"/>
          <w:lang w:eastAsia="zh-CN"/>
        </w:rPr>
        <w:t>措</w:t>
      </w:r>
      <w:bookmarkEnd w:id="127"/>
      <w:r>
        <w:rPr>
          <w:rFonts w:ascii="Times New Roman" w:hAnsi="Times New Roman" w:eastAsia="方正仿宋简体" w:cs="方正仿宋简体"/>
          <w:b/>
          <w:sz w:val="32"/>
          <w:szCs w:val="32"/>
          <w:lang w:eastAsia="zh-CN"/>
        </w:rPr>
        <w:t>及成效一览表</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6"/>
        <w:gridCol w:w="2268"/>
        <w:gridCol w:w="4871"/>
      </w:tblGrid>
      <w:tr w14:paraId="46054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1696" w:type="dxa"/>
            <w:vAlign w:val="center"/>
          </w:tcPr>
          <w:p w14:paraId="68632979">
            <w:pPr>
              <w:widowControl/>
              <w:spacing w:line="352" w:lineRule="exact"/>
              <w:jc w:val="center"/>
              <w:rPr>
                <w:rFonts w:ascii="Times New Roman" w:hAnsi="Times New Roman" w:eastAsia="方正仿宋简体" w:cs="方正仿宋简体"/>
                <w:b/>
                <w:sz w:val="24"/>
                <w:szCs w:val="24"/>
                <w:lang w:eastAsia="zh-CN"/>
              </w:rPr>
            </w:pPr>
            <w:r>
              <w:rPr>
                <w:rFonts w:ascii="Times New Roman" w:hAnsi="Times New Roman" w:eastAsia="方正仿宋简体" w:cs="方正仿宋简体"/>
                <w:b/>
                <w:sz w:val="24"/>
                <w:szCs w:val="24"/>
                <w:lang w:eastAsia="zh-CN"/>
              </w:rPr>
              <w:t>分析维度</w:t>
            </w:r>
          </w:p>
        </w:tc>
        <w:tc>
          <w:tcPr>
            <w:tcW w:w="2268" w:type="dxa"/>
            <w:vAlign w:val="center"/>
          </w:tcPr>
          <w:p w14:paraId="3F3AFD58">
            <w:pPr>
              <w:widowControl/>
              <w:spacing w:line="352" w:lineRule="exact"/>
              <w:jc w:val="center"/>
              <w:rPr>
                <w:rFonts w:ascii="Times New Roman" w:hAnsi="Times New Roman" w:eastAsia="方正仿宋简体" w:cs="方正仿宋简体"/>
                <w:b/>
                <w:sz w:val="24"/>
                <w:szCs w:val="24"/>
                <w:lang w:eastAsia="zh-CN"/>
              </w:rPr>
            </w:pPr>
            <w:r>
              <w:rPr>
                <w:rFonts w:ascii="Times New Roman" w:hAnsi="Times New Roman" w:eastAsia="方正仿宋简体" w:cs="方正仿宋简体"/>
                <w:b/>
                <w:sz w:val="24"/>
                <w:szCs w:val="24"/>
                <w:lang w:eastAsia="zh-CN"/>
              </w:rPr>
              <w:t>核心实施策略</w:t>
            </w:r>
          </w:p>
        </w:tc>
        <w:tc>
          <w:tcPr>
            <w:tcW w:w="4871" w:type="dxa"/>
            <w:vAlign w:val="center"/>
          </w:tcPr>
          <w:p w14:paraId="5515F282">
            <w:pPr>
              <w:widowControl/>
              <w:spacing w:line="352" w:lineRule="exact"/>
              <w:jc w:val="center"/>
              <w:rPr>
                <w:rFonts w:ascii="Times New Roman" w:hAnsi="Times New Roman" w:eastAsia="方正仿宋简体" w:cs="方正仿宋简体"/>
                <w:b/>
                <w:sz w:val="24"/>
                <w:szCs w:val="24"/>
                <w:lang w:eastAsia="zh-CN"/>
              </w:rPr>
            </w:pPr>
            <w:r>
              <w:rPr>
                <w:rFonts w:ascii="Times New Roman" w:hAnsi="Times New Roman" w:eastAsia="方正仿宋简体" w:cs="方正仿宋简体"/>
                <w:b/>
                <w:sz w:val="24"/>
                <w:szCs w:val="24"/>
                <w:lang w:eastAsia="zh-CN"/>
              </w:rPr>
              <w:t>落地举措与发展成效</w:t>
            </w:r>
          </w:p>
        </w:tc>
      </w:tr>
      <w:tr w14:paraId="3716B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3" w:hRule="atLeast"/>
        </w:trPr>
        <w:tc>
          <w:tcPr>
            <w:tcW w:w="1696" w:type="dxa"/>
            <w:vAlign w:val="center"/>
          </w:tcPr>
          <w:p w14:paraId="52AA5CD6">
            <w:pPr>
              <w:widowControl/>
              <w:spacing w:line="270" w:lineRule="exact"/>
              <w:jc w:val="center"/>
              <w:rPr>
                <w:rFonts w:hint="eastAsia"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资源基底建设</w:t>
            </w:r>
          </w:p>
        </w:tc>
        <w:tc>
          <w:tcPr>
            <w:tcW w:w="2268" w:type="dxa"/>
            <w:vAlign w:val="center"/>
          </w:tcPr>
          <w:p w14:paraId="6CB870D4">
            <w:pPr>
              <w:widowControl/>
              <w:spacing w:line="270" w:lineRule="exact"/>
              <w:jc w:val="both"/>
              <w:rPr>
                <w:rFonts w:hint="eastAsia"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织密公铁综合交通网络，夯实物流硬件基础。</w:t>
            </w:r>
          </w:p>
        </w:tc>
        <w:tc>
          <w:tcPr>
            <w:tcW w:w="4871" w:type="dxa"/>
            <w:vAlign w:val="center"/>
          </w:tcPr>
          <w:p w14:paraId="7ACD7537">
            <w:pPr>
              <w:widowControl/>
              <w:spacing w:line="270" w:lineRule="exact"/>
              <w:jc w:val="both"/>
              <w:rPr>
                <w:rFonts w:hint="eastAsia"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公路构建“三横四纵四通道”主干路网，县、乡公路通畅率100%，</w:t>
            </w:r>
            <w:bookmarkStart w:id="128" w:name="OLE_LINK82"/>
            <w:r>
              <w:rPr>
                <w:rFonts w:hint="eastAsia" w:ascii="Times New Roman" w:hAnsi="Times New Roman" w:eastAsia="方正仿宋简体" w:cs="方正仿宋简体"/>
                <w:bCs/>
                <w:sz w:val="21"/>
                <w:szCs w:val="21"/>
                <w:lang w:eastAsia="zh-CN"/>
              </w:rPr>
              <w:t>行政村</w:t>
            </w:r>
            <w:bookmarkEnd w:id="128"/>
            <w:r>
              <w:rPr>
                <w:rFonts w:hint="eastAsia" w:ascii="Times New Roman" w:hAnsi="Times New Roman" w:eastAsia="方正仿宋简体" w:cs="方正仿宋简体"/>
                <w:bCs/>
                <w:sz w:val="21"/>
                <w:szCs w:val="21"/>
                <w:lang w:eastAsia="zh-CN"/>
              </w:rPr>
              <w:t>通畅率83.17%；青藏铁路全域贯通，那曲物流中心为铁路货运核心枢纽，货运品类由单一基建物资向全品类现代商贸物流转型；全域建成县、乡、村三级通信网络，县域及重点行政村5G信号全覆盖，为智慧物流发展提供数字支撑。</w:t>
            </w:r>
          </w:p>
        </w:tc>
      </w:tr>
      <w:tr w14:paraId="5DA98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1696" w:type="dxa"/>
            <w:vAlign w:val="center"/>
          </w:tcPr>
          <w:p w14:paraId="7D7ACDC9">
            <w:pPr>
              <w:widowControl/>
              <w:spacing w:line="270" w:lineRule="exact"/>
              <w:jc w:val="center"/>
              <w:rPr>
                <w:rFonts w:hint="eastAsia"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物流枢纽打造</w:t>
            </w:r>
          </w:p>
        </w:tc>
        <w:tc>
          <w:tcPr>
            <w:tcW w:w="2268" w:type="dxa"/>
            <w:vAlign w:val="center"/>
          </w:tcPr>
          <w:p w14:paraId="6B358F74">
            <w:pPr>
              <w:widowControl/>
              <w:spacing w:line="270" w:lineRule="exact"/>
              <w:jc w:val="both"/>
              <w:rPr>
                <w:rFonts w:hint="eastAsia"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高标准建设市级核心物流园区，完善综合服务功能。</w:t>
            </w:r>
          </w:p>
        </w:tc>
        <w:tc>
          <w:tcPr>
            <w:tcW w:w="4871" w:type="dxa"/>
            <w:vAlign w:val="center"/>
          </w:tcPr>
          <w:p w14:paraId="00CD43AA">
            <w:pPr>
              <w:widowControl/>
              <w:spacing w:line="270" w:lineRule="exact"/>
              <w:jc w:val="both"/>
              <w:rPr>
                <w:rFonts w:hint="eastAsia" w:ascii="Times New Roman" w:hAnsi="Times New Roman" w:eastAsia="方正仿宋简体" w:cs="方正仿宋简体"/>
                <w:bCs/>
                <w:sz w:val="21"/>
                <w:szCs w:val="21"/>
                <w:lang w:eastAsia="zh-CN"/>
              </w:rPr>
            </w:pPr>
            <w:bookmarkStart w:id="129" w:name="OLE_LINK109"/>
            <w:bookmarkStart w:id="130" w:name="OLE_LINK83"/>
            <w:r>
              <w:rPr>
                <w:rFonts w:hint="eastAsia" w:ascii="Times New Roman" w:hAnsi="Times New Roman" w:eastAsia="方正仿宋简体" w:cs="方正仿宋简体"/>
                <w:bCs/>
                <w:sz w:val="21"/>
                <w:szCs w:val="21"/>
                <w:lang w:eastAsia="zh-CN"/>
              </w:rPr>
              <w:t>青藏铁路那曲物流中心</w:t>
            </w:r>
            <w:bookmarkEnd w:id="129"/>
            <w:r>
              <w:rPr>
                <w:rFonts w:hint="eastAsia" w:ascii="Times New Roman" w:hAnsi="Times New Roman" w:eastAsia="方正仿宋简体" w:cs="方正仿宋简体"/>
                <w:bCs/>
                <w:sz w:val="21"/>
                <w:szCs w:val="21"/>
                <w:lang w:eastAsia="zh-CN"/>
              </w:rPr>
              <w:t>布局色尼区物流枢纽是西藏占地面积最大、功能配套齐全的综合物流基地，集仓储集散、流通加工、商贸展销等功能于一体；</w:t>
            </w:r>
            <w:bookmarkEnd w:id="130"/>
            <w:r>
              <w:rPr>
                <w:rFonts w:hint="eastAsia" w:ascii="Times New Roman" w:hAnsi="Times New Roman" w:eastAsia="方正仿宋简体" w:cs="方正仿宋简体"/>
                <w:bCs/>
                <w:sz w:val="21"/>
                <w:szCs w:val="21"/>
                <w:lang w:eastAsia="zh-CN"/>
              </w:rPr>
              <w:t>2025年新建跨区域冷链集散中心，升级冷库仓储、冷藏运输配套设备，有效降低畜产品流通损耗；京东等头部电商落地本地自营网点，实现特色消费品次日达，末端配送效能大幅提升。</w:t>
            </w:r>
          </w:p>
        </w:tc>
      </w:tr>
      <w:tr w14:paraId="70610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trPr>
        <w:tc>
          <w:tcPr>
            <w:tcW w:w="1696" w:type="dxa"/>
            <w:vAlign w:val="center"/>
          </w:tcPr>
          <w:p w14:paraId="4ACFC8A5">
            <w:pPr>
              <w:widowControl/>
              <w:spacing w:line="270" w:lineRule="exact"/>
              <w:jc w:val="center"/>
              <w:rPr>
                <w:rFonts w:hint="eastAsia"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产业效益提升</w:t>
            </w:r>
          </w:p>
        </w:tc>
        <w:tc>
          <w:tcPr>
            <w:tcW w:w="2268" w:type="dxa"/>
            <w:vAlign w:val="center"/>
          </w:tcPr>
          <w:p w14:paraId="20512BD3">
            <w:pPr>
              <w:widowControl/>
              <w:spacing w:line="270" w:lineRule="exact"/>
              <w:jc w:val="both"/>
              <w:rPr>
                <w:rFonts w:hint="eastAsia"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持续扩容物流经济规模，放大经济拉动效能。</w:t>
            </w:r>
          </w:p>
        </w:tc>
        <w:tc>
          <w:tcPr>
            <w:tcW w:w="4871" w:type="dxa"/>
            <w:vAlign w:val="center"/>
          </w:tcPr>
          <w:p w14:paraId="650AF4DF">
            <w:pPr>
              <w:widowControl/>
              <w:spacing w:line="270" w:lineRule="exact"/>
              <w:jc w:val="both"/>
              <w:rPr>
                <w:rFonts w:hint="eastAsia"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2025年全市物流业产值达13.8亿元，占地区生产总值比重提升至5.15%，物流园区货物吞吐量235万吨，拉动全市GDP增长约3.2个百分点；产业直接提供就业岗位2000余个，间接带动运输、食宿、配套服务行业就业5000余人，富民带动效应持续释放。</w:t>
            </w:r>
          </w:p>
        </w:tc>
      </w:tr>
      <w:tr w14:paraId="493EE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2" w:hRule="atLeast"/>
        </w:trPr>
        <w:tc>
          <w:tcPr>
            <w:tcW w:w="1696" w:type="dxa"/>
            <w:vAlign w:val="center"/>
          </w:tcPr>
          <w:p w14:paraId="55D0EB51">
            <w:pPr>
              <w:widowControl/>
              <w:spacing w:line="270" w:lineRule="exact"/>
              <w:jc w:val="center"/>
              <w:rPr>
                <w:rFonts w:hint="eastAsia"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智慧物流升级</w:t>
            </w:r>
          </w:p>
        </w:tc>
        <w:tc>
          <w:tcPr>
            <w:tcW w:w="2268" w:type="dxa"/>
            <w:vAlign w:val="center"/>
          </w:tcPr>
          <w:p w14:paraId="4AE06375">
            <w:pPr>
              <w:widowControl/>
              <w:spacing w:line="270" w:lineRule="exact"/>
              <w:jc w:val="both"/>
              <w:rPr>
                <w:rFonts w:hint="eastAsia" w:ascii="Times New Roman" w:hAnsi="Times New Roman" w:eastAsia="方正仿宋简体" w:cs="方正仿宋简体"/>
                <w:bCs/>
                <w:sz w:val="21"/>
                <w:szCs w:val="21"/>
                <w:lang w:eastAsia="zh-CN"/>
              </w:rPr>
            </w:pPr>
            <w:bookmarkStart w:id="131" w:name="OLE_LINK84"/>
            <w:r>
              <w:rPr>
                <w:rFonts w:hint="eastAsia" w:ascii="Times New Roman" w:hAnsi="Times New Roman" w:eastAsia="方正仿宋简体" w:cs="方正仿宋简体"/>
                <w:bCs/>
                <w:sz w:val="21"/>
                <w:szCs w:val="21"/>
                <w:lang w:eastAsia="zh-CN"/>
              </w:rPr>
              <w:t>数字</w:t>
            </w:r>
            <w:bookmarkEnd w:id="131"/>
            <w:r>
              <w:rPr>
                <w:rFonts w:hint="eastAsia" w:ascii="Times New Roman" w:hAnsi="Times New Roman" w:eastAsia="方正仿宋简体" w:cs="方正仿宋简体"/>
                <w:bCs/>
                <w:sz w:val="21"/>
                <w:szCs w:val="21"/>
                <w:lang w:eastAsia="zh-CN"/>
              </w:rPr>
              <w:t>化赋能物流园区运营，提升规范化管理水平。</w:t>
            </w:r>
          </w:p>
        </w:tc>
        <w:tc>
          <w:tcPr>
            <w:tcW w:w="4871" w:type="dxa"/>
            <w:vAlign w:val="center"/>
          </w:tcPr>
          <w:p w14:paraId="1D5461F6">
            <w:pPr>
              <w:widowControl/>
              <w:spacing w:line="270" w:lineRule="exact"/>
              <w:jc w:val="both"/>
              <w:rPr>
                <w:rFonts w:hint="eastAsia"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推进园区环卫市场化改革，配套投用智能分拣设备、物联网动态监控平台，搭建数字化调度管理体系，实现货物收发、仓储保管、车辆调度全流程智能化管控，持续降本增效。</w:t>
            </w:r>
          </w:p>
        </w:tc>
      </w:tr>
      <w:tr w14:paraId="0DCF5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0" w:hRule="atLeast"/>
        </w:trPr>
        <w:tc>
          <w:tcPr>
            <w:tcW w:w="1696" w:type="dxa"/>
            <w:vAlign w:val="center"/>
          </w:tcPr>
          <w:p w14:paraId="0D4E3C66">
            <w:pPr>
              <w:widowControl/>
              <w:spacing w:line="270" w:lineRule="exact"/>
              <w:jc w:val="center"/>
              <w:rPr>
                <w:rFonts w:hint="eastAsia"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产流融合发展</w:t>
            </w:r>
          </w:p>
        </w:tc>
        <w:tc>
          <w:tcPr>
            <w:tcW w:w="2268" w:type="dxa"/>
            <w:vAlign w:val="center"/>
          </w:tcPr>
          <w:p w14:paraId="0D6FC1A4">
            <w:pPr>
              <w:widowControl/>
              <w:spacing w:line="270" w:lineRule="exact"/>
              <w:jc w:val="both"/>
              <w:rPr>
                <w:rFonts w:hint="eastAsia"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推动物流与本土特色产业联动发展。</w:t>
            </w:r>
          </w:p>
        </w:tc>
        <w:tc>
          <w:tcPr>
            <w:tcW w:w="4871" w:type="dxa"/>
            <w:vAlign w:val="center"/>
          </w:tcPr>
          <w:p w14:paraId="136466FB">
            <w:pPr>
              <w:widowControl/>
              <w:spacing w:line="270" w:lineRule="exact"/>
              <w:jc w:val="both"/>
              <w:rPr>
                <w:rFonts w:hint="eastAsia"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园区科学划分综合物流、散堆装货运、生产加工三大功能分区，综合物流区承接建材、集装箱储运业务，散堆装片区承载矿石、能源大宗商品中转，生产加工区定向引入畜产品加工、民族手工、藏医药加工经营主体，深度打造“物流+特色产业”融合发展模式。</w:t>
            </w:r>
          </w:p>
        </w:tc>
      </w:tr>
      <w:bookmarkEnd w:id="126"/>
    </w:tbl>
    <w:p w14:paraId="66B1939A">
      <w:pPr>
        <w:pStyle w:val="27"/>
        <w:overflowPunct w:val="0"/>
        <w:spacing w:line="576" w:lineRule="exact"/>
        <w:ind w:firstLine="640" w:firstLineChars="200"/>
        <w:jc w:val="both"/>
        <w:rPr>
          <w:rFonts w:ascii="Times New Roman" w:hAnsi="Times New Roman" w:eastAsia="方正仿宋简体" w:cs="方正仿宋简体"/>
          <w:bCs/>
          <w:sz w:val="32"/>
          <w:szCs w:val="28"/>
          <w:lang w:eastAsia="zh-CN"/>
        </w:rPr>
      </w:pPr>
      <w:r>
        <w:rPr>
          <w:rFonts w:hint="eastAsia" w:ascii="Times New Roman" w:hAnsi="Times New Roman" w:eastAsia="方正仿宋简体" w:cs="方正仿宋简体"/>
          <w:bCs/>
          <w:sz w:val="32"/>
          <w:szCs w:val="28"/>
          <w:lang w:val="en-US" w:eastAsia="zh-CN"/>
        </w:rPr>
        <w:t>全市交通物流产业发展始终坚持枢纽引领、通道支撑、数字赋能、产流融合</w:t>
      </w:r>
      <w:r>
        <w:rPr>
          <w:rFonts w:hint="eastAsia" w:ascii="Times New Roman" w:hAnsi="Times New Roman" w:eastAsia="方正仿宋简体" w:cs="方正仿宋简体"/>
          <w:bCs/>
          <w:sz w:val="32"/>
          <w:szCs w:val="28"/>
          <w:lang w:val="en-US"/>
        </w:rPr>
        <w:t>发展</w:t>
      </w:r>
      <w:r>
        <w:rPr>
          <w:rFonts w:hint="eastAsia" w:ascii="Times New Roman" w:hAnsi="Times New Roman" w:eastAsia="方正仿宋简体" w:cs="方正仿宋简体"/>
          <w:bCs/>
          <w:sz w:val="32"/>
          <w:szCs w:val="28"/>
          <w:lang w:val="en-US" w:eastAsia="zh-CN"/>
        </w:rPr>
        <w:t>导向，依托藏北门户区位优势，构建内外联通、城乡覆盖、智慧高效的现代流通体系，为全市特色产业延链拓市、群众增收致富提供坚实流通保障。</w:t>
      </w:r>
      <w:r>
        <w:rPr>
          <w:rFonts w:hint="eastAsia" w:ascii="Times New Roman" w:hAnsi="Times New Roman" w:eastAsia="方正仿宋简体" w:cs="方正仿宋简体"/>
          <w:b/>
          <w:sz w:val="32"/>
          <w:szCs w:val="28"/>
          <w:lang w:val="en-US" w:eastAsia="zh-CN"/>
        </w:rPr>
        <w:t>一是</w:t>
      </w:r>
      <w:r>
        <w:rPr>
          <w:rFonts w:hint="eastAsia" w:ascii="Times New Roman" w:hAnsi="Times New Roman" w:eastAsia="方正仿宋简体" w:cs="方正仿宋简体"/>
          <w:bCs/>
          <w:sz w:val="32"/>
          <w:szCs w:val="28"/>
          <w:lang w:val="en-US" w:eastAsia="zh-CN"/>
        </w:rPr>
        <w:t>坚持枢纽平台提质，夯实产业流通核心载体。青藏铁路那曲物流中心为全球海拔最高现代化综合物流枢纽，分区布局、功能完备，兼顾大宗货运中转与本土产品加工孵化双重功能，通过数字化、市场化改造持续提升园区运营承载力，打造藏北特色产业集聚孵化平台；</w:t>
      </w:r>
      <w:r>
        <w:rPr>
          <w:rFonts w:hint="eastAsia" w:ascii="Times New Roman" w:hAnsi="Times New Roman" w:eastAsia="方正仿宋简体" w:cs="方正仿宋简体"/>
          <w:b/>
          <w:sz w:val="32"/>
          <w:szCs w:val="28"/>
          <w:lang w:val="en-US" w:eastAsia="zh-CN"/>
        </w:rPr>
        <w:t>二是</w:t>
      </w:r>
      <w:r>
        <w:rPr>
          <w:rFonts w:hint="eastAsia" w:ascii="Times New Roman" w:hAnsi="Times New Roman" w:eastAsia="方正仿宋简体" w:cs="方正仿宋简体"/>
          <w:bCs/>
          <w:sz w:val="32"/>
          <w:szCs w:val="28"/>
          <w:lang w:val="en-US" w:eastAsia="zh-CN"/>
        </w:rPr>
        <w:t>坚持畅通</w:t>
      </w:r>
      <w:r>
        <w:rPr>
          <w:rFonts w:hint="eastAsia" w:ascii="Times New Roman" w:hAnsi="Times New Roman" w:eastAsia="方正仿宋简体" w:cs="方正仿宋简体"/>
          <w:bCs/>
          <w:sz w:val="32"/>
          <w:szCs w:val="28"/>
          <w:lang w:val="en-US"/>
        </w:rPr>
        <w:t>内外</w:t>
      </w:r>
      <w:r>
        <w:rPr>
          <w:rFonts w:hint="eastAsia" w:ascii="Times New Roman" w:hAnsi="Times New Roman" w:eastAsia="方正仿宋简体" w:cs="方正仿宋简体"/>
          <w:bCs/>
          <w:sz w:val="32"/>
          <w:szCs w:val="28"/>
          <w:lang w:val="en-US" w:eastAsia="zh-CN"/>
        </w:rPr>
        <w:t>流通，拓宽特色产品外销渠道。依托公铁联运全域路网，彻底扭转牧区传统季节性物物交换模式，打通牦牛肉、奶制品、藏药材、牦牛绒等高原特色产品全国外销通道。2025年全市特色商品线上线下流通交易额36.86亿元，同比增长5%，商贸流通对区域经济增长的基础支撑作用持续巩固；</w:t>
      </w:r>
      <w:r>
        <w:rPr>
          <w:rFonts w:hint="eastAsia" w:ascii="Times New Roman" w:hAnsi="Times New Roman" w:eastAsia="方正仿宋简体" w:cs="方正仿宋简体"/>
          <w:b/>
          <w:sz w:val="32"/>
          <w:szCs w:val="28"/>
          <w:lang w:val="en-US" w:eastAsia="zh-CN"/>
        </w:rPr>
        <w:t>三是</w:t>
      </w:r>
      <w:r>
        <w:rPr>
          <w:rFonts w:hint="eastAsia" w:ascii="Times New Roman" w:hAnsi="Times New Roman" w:eastAsia="方正仿宋简体" w:cs="方正仿宋简体"/>
          <w:bCs/>
          <w:sz w:val="32"/>
          <w:szCs w:val="28"/>
          <w:lang w:val="en-US" w:eastAsia="zh-CN"/>
        </w:rPr>
        <w:t>坚持产业</w:t>
      </w:r>
      <w:r>
        <w:rPr>
          <w:rFonts w:hint="eastAsia" w:ascii="Times New Roman" w:hAnsi="Times New Roman" w:eastAsia="方正仿宋简体" w:cs="方正仿宋简体"/>
          <w:bCs/>
          <w:sz w:val="32"/>
          <w:szCs w:val="28"/>
          <w:lang w:val="en-US"/>
        </w:rPr>
        <w:t>联动</w:t>
      </w:r>
      <w:r>
        <w:rPr>
          <w:rFonts w:hint="eastAsia" w:ascii="Times New Roman" w:hAnsi="Times New Roman" w:eastAsia="方正仿宋简体" w:cs="方正仿宋简体"/>
          <w:bCs/>
          <w:sz w:val="32"/>
          <w:szCs w:val="28"/>
          <w:lang w:val="en-US" w:eastAsia="zh-CN"/>
        </w:rPr>
        <w:t>惠民，助推区域经济提质增效。物流产业全链条发展持续创造护路运维、场站服务、仓储分拣、运输配送等本地就业岗位，拓宽群众就近增收渠道。</w:t>
      </w:r>
      <w:bookmarkStart w:id="132" w:name="OLE_LINK85"/>
      <w:r>
        <w:rPr>
          <w:rFonts w:ascii="Times New Roman" w:hAnsi="Times New Roman" w:eastAsia="方正仿宋简体" w:cs="方正仿宋简体"/>
          <w:bCs/>
          <w:sz w:val="32"/>
          <w:szCs w:val="28"/>
          <w:lang w:eastAsia="zh-CN"/>
        </w:rPr>
        <w:t>完备的流通配套持续优化</w:t>
      </w:r>
      <w:r>
        <w:rPr>
          <w:rFonts w:hint="eastAsia" w:ascii="Times New Roman" w:hAnsi="Times New Roman" w:eastAsia="方正仿宋简体" w:cs="方正仿宋简体"/>
          <w:bCs/>
          <w:sz w:val="32"/>
          <w:szCs w:val="28"/>
          <w:lang w:eastAsia="zh-CN"/>
        </w:rPr>
        <w:t>那曲</w:t>
      </w:r>
      <w:r>
        <w:rPr>
          <w:rFonts w:ascii="Times New Roman" w:hAnsi="Times New Roman" w:eastAsia="方正仿宋简体" w:cs="方正仿宋简体"/>
          <w:bCs/>
          <w:sz w:val="32"/>
          <w:szCs w:val="28"/>
          <w:lang w:eastAsia="zh-CN"/>
        </w:rPr>
        <w:t>营商环境，吸引各类市场主体落地集聚，2025年全市地区生产总值实现267.83亿元、同比增长7%，经济运行稳中有进、质效同步提升。园区已实施环卫市场化改革，同步谋划布局智能分拣、物联网监控平台等智慧物流设施，持续提升运营效率和管理水平。</w:t>
      </w:r>
    </w:p>
    <w:bookmarkEnd w:id="132"/>
    <w:p w14:paraId="457857C8">
      <w:pPr>
        <w:pStyle w:val="8"/>
        <w:overflowPunct w:val="0"/>
        <w:topLinePunct/>
        <w:autoSpaceDE/>
        <w:autoSpaceDN/>
        <w:spacing w:before="0" w:line="576" w:lineRule="exact"/>
        <w:ind w:left="0" w:firstLine="640" w:firstLineChars="200"/>
        <w:jc w:val="both"/>
        <w:outlineLvl w:val="1"/>
        <w:rPr>
          <w:rFonts w:ascii="Times New Roman" w:hAnsi="Times New Roman" w:eastAsia="方正楷体简体" w:cs="方正楷体简体"/>
          <w:sz w:val="32"/>
          <w:szCs w:val="32"/>
        </w:rPr>
      </w:pPr>
      <w:bookmarkStart w:id="133" w:name="_Toc218422253"/>
      <w:bookmarkStart w:id="134" w:name="_Toc243241430"/>
      <w:r>
        <w:rPr>
          <w:rFonts w:hint="eastAsia" w:ascii="Times New Roman" w:hAnsi="Times New Roman" w:eastAsia="方正楷体简体" w:cs="方正楷体简体"/>
          <w:sz w:val="32"/>
          <w:szCs w:val="32"/>
        </w:rPr>
        <w:t>（七）民族手工业</w:t>
      </w:r>
      <w:bookmarkEnd w:id="133"/>
      <w:bookmarkEnd w:id="134"/>
    </w:p>
    <w:p w14:paraId="34CC6F85">
      <w:pPr>
        <w:pStyle w:val="27"/>
        <w:overflowPunct w:val="0"/>
        <w:spacing w:line="576" w:lineRule="exact"/>
        <w:ind w:firstLine="640" w:firstLineChars="200"/>
        <w:jc w:val="both"/>
        <w:rPr>
          <w:rFonts w:ascii="Times New Roman" w:hAnsi="Times New Roman" w:eastAsia="方正仿宋简体" w:cs="方正仿宋简体"/>
          <w:bCs/>
          <w:sz w:val="32"/>
          <w:szCs w:val="28"/>
          <w:lang w:val="en-US" w:eastAsia="zh-CN"/>
        </w:rPr>
      </w:pPr>
      <w:bookmarkStart w:id="135" w:name="_Toc218422254"/>
      <w:r>
        <w:rPr>
          <w:rFonts w:hint="eastAsia" w:ascii="Times New Roman" w:hAnsi="Times New Roman" w:eastAsia="方正仿宋简体" w:cs="方正仿宋简体"/>
          <w:bCs/>
          <w:sz w:val="32"/>
          <w:szCs w:val="28"/>
          <w:lang w:val="en-US" w:eastAsia="zh-CN"/>
        </w:rPr>
        <w:t>那曲</w:t>
      </w:r>
      <w:r>
        <w:rPr>
          <w:rFonts w:ascii="Times New Roman" w:hAnsi="Times New Roman" w:eastAsia="方正仿宋简体" w:cs="方正仿宋简体"/>
          <w:bCs/>
          <w:sz w:val="32"/>
          <w:szCs w:val="28"/>
          <w:lang w:val="en-US"/>
        </w:rPr>
        <w:t>市非遗文化资源富集、传统手工技艺底蕴深厚，</w:t>
      </w:r>
      <w:r>
        <w:rPr>
          <w:rFonts w:ascii="Times New Roman" w:hAnsi="Times New Roman" w:eastAsia="方正仿宋简体" w:cs="Times New Roman"/>
          <w:bCs/>
          <w:sz w:val="32"/>
          <w:szCs w:val="28"/>
          <w:lang w:val="en-US" w:eastAsia="zh-CN"/>
        </w:rPr>
        <w:t>是藏北游牧民俗文化活态传承的核心载体</w:t>
      </w:r>
      <w:r>
        <w:rPr>
          <w:rFonts w:ascii="Times New Roman" w:hAnsi="Times New Roman" w:eastAsia="方正仿宋简体" w:cs="方正仿宋简体"/>
          <w:bCs/>
          <w:sz w:val="32"/>
          <w:szCs w:val="28"/>
          <w:lang w:val="en-US"/>
        </w:rPr>
        <w:t>。全市立足丰富非遗资源、依托政策扶持、强化市场创新，持续推动民族手工业规范化、规模化、品牌化、融合化发展，有效激活乡村产业活力、拓宽群众增收渠道，已成为巩固拓展脱贫攻坚成果、赋能乡村全面振兴的特色富民</w:t>
      </w:r>
      <w:r>
        <w:rPr>
          <w:rFonts w:hint="eastAsia" w:ascii="Times New Roman" w:hAnsi="Times New Roman" w:eastAsia="方正仿宋简体" w:cs="方正仿宋简体"/>
          <w:bCs/>
          <w:sz w:val="32"/>
          <w:szCs w:val="28"/>
          <w:lang w:val="en-US"/>
        </w:rPr>
        <w:t>基础</w:t>
      </w:r>
      <w:r>
        <w:rPr>
          <w:rFonts w:ascii="Times New Roman" w:hAnsi="Times New Roman" w:eastAsia="方正仿宋简体" w:cs="方正仿宋简体"/>
          <w:bCs/>
          <w:sz w:val="32"/>
          <w:szCs w:val="28"/>
          <w:lang w:val="en-US"/>
        </w:rPr>
        <w:t>产业。</w:t>
      </w:r>
    </w:p>
    <w:p w14:paraId="3AF18341">
      <w:pPr>
        <w:spacing w:line="576" w:lineRule="exact"/>
        <w:jc w:val="center"/>
        <w:rPr>
          <w:rFonts w:ascii="Times New Roman" w:hAnsi="Times New Roman" w:eastAsia="方正仿宋简体" w:cs="方正仿宋简体"/>
          <w:b/>
          <w:sz w:val="32"/>
          <w:szCs w:val="32"/>
          <w:lang w:eastAsia="zh-CN"/>
        </w:rPr>
      </w:pPr>
      <w:bookmarkStart w:id="136" w:name="OLE_LINK10"/>
    </w:p>
    <w:p w14:paraId="21DF0F52">
      <w:pPr>
        <w:spacing w:line="576" w:lineRule="exact"/>
        <w:jc w:val="center"/>
        <w:rPr>
          <w:rFonts w:ascii="Times New Roman" w:hAnsi="Times New Roman" w:eastAsia="方正仿宋简体" w:cs="方正仿宋简体"/>
          <w:b/>
          <w:sz w:val="32"/>
          <w:szCs w:val="32"/>
          <w:lang w:eastAsia="zh-CN"/>
        </w:rPr>
      </w:pPr>
      <w:r>
        <w:rPr>
          <w:rFonts w:hint="eastAsia" w:ascii="Times New Roman" w:hAnsi="Times New Roman" w:eastAsia="方正仿宋简体" w:cs="方正仿宋简体"/>
          <w:b/>
          <w:sz w:val="32"/>
          <w:szCs w:val="32"/>
          <w:lang w:eastAsia="zh-CN"/>
        </w:rPr>
        <w:t>民族手工业</w:t>
      </w:r>
      <w:r>
        <w:rPr>
          <w:rFonts w:ascii="Times New Roman" w:hAnsi="Times New Roman" w:eastAsia="方正仿宋简体" w:cs="方正仿宋简体"/>
          <w:b/>
          <w:sz w:val="32"/>
          <w:szCs w:val="32"/>
          <w:lang w:eastAsia="zh-CN"/>
        </w:rPr>
        <w:t>发展核心举</w:t>
      </w:r>
      <w:bookmarkStart w:id="137" w:name="OLE_LINK113"/>
      <w:r>
        <w:rPr>
          <w:rFonts w:ascii="Times New Roman" w:hAnsi="Times New Roman" w:eastAsia="方正仿宋简体" w:cs="方正仿宋简体"/>
          <w:b/>
          <w:sz w:val="32"/>
          <w:szCs w:val="32"/>
          <w:lang w:eastAsia="zh-CN"/>
        </w:rPr>
        <w:t>措</w:t>
      </w:r>
      <w:bookmarkEnd w:id="137"/>
      <w:r>
        <w:rPr>
          <w:rFonts w:ascii="Times New Roman" w:hAnsi="Times New Roman" w:eastAsia="方正仿宋简体" w:cs="方正仿宋简体"/>
          <w:b/>
          <w:sz w:val="32"/>
          <w:szCs w:val="32"/>
          <w:lang w:eastAsia="zh-CN"/>
        </w:rPr>
        <w:t>及成效一览表</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6"/>
        <w:gridCol w:w="1876"/>
        <w:gridCol w:w="5263"/>
      </w:tblGrid>
      <w:tr w14:paraId="2D21A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96" w:type="dxa"/>
            <w:vAlign w:val="center"/>
          </w:tcPr>
          <w:p w14:paraId="055B73A4">
            <w:pPr>
              <w:widowControl/>
              <w:spacing w:line="352" w:lineRule="exact"/>
              <w:jc w:val="center"/>
              <w:rPr>
                <w:rFonts w:ascii="Times New Roman" w:hAnsi="Times New Roman" w:eastAsia="方正仿宋简体" w:cs="方正仿宋简体"/>
                <w:b/>
                <w:sz w:val="24"/>
                <w:szCs w:val="24"/>
                <w:lang w:eastAsia="zh-CN"/>
              </w:rPr>
            </w:pPr>
            <w:r>
              <w:rPr>
                <w:rFonts w:ascii="Times New Roman" w:hAnsi="Times New Roman" w:eastAsia="方正仿宋简体" w:cs="方正仿宋简体"/>
                <w:b/>
                <w:sz w:val="24"/>
                <w:szCs w:val="24"/>
                <w:lang w:eastAsia="zh-CN"/>
              </w:rPr>
              <w:t>分析维度</w:t>
            </w:r>
          </w:p>
        </w:tc>
        <w:tc>
          <w:tcPr>
            <w:tcW w:w="1876" w:type="dxa"/>
            <w:vAlign w:val="center"/>
          </w:tcPr>
          <w:p w14:paraId="20700C8F">
            <w:pPr>
              <w:widowControl/>
              <w:spacing w:line="352" w:lineRule="exact"/>
              <w:jc w:val="center"/>
              <w:rPr>
                <w:rFonts w:ascii="Times New Roman" w:hAnsi="Times New Roman" w:eastAsia="方正仿宋简体" w:cs="方正仿宋简体"/>
                <w:b/>
                <w:sz w:val="24"/>
                <w:szCs w:val="24"/>
                <w:lang w:eastAsia="zh-CN"/>
              </w:rPr>
            </w:pPr>
            <w:r>
              <w:rPr>
                <w:rFonts w:ascii="Times New Roman" w:hAnsi="Times New Roman" w:eastAsia="方正仿宋简体" w:cs="方正仿宋简体"/>
                <w:b/>
                <w:sz w:val="24"/>
                <w:szCs w:val="24"/>
                <w:lang w:eastAsia="zh-CN"/>
              </w:rPr>
              <w:t>核心实施策略</w:t>
            </w:r>
          </w:p>
        </w:tc>
        <w:tc>
          <w:tcPr>
            <w:tcW w:w="5263" w:type="dxa"/>
            <w:vAlign w:val="center"/>
          </w:tcPr>
          <w:p w14:paraId="059E8359">
            <w:pPr>
              <w:widowControl/>
              <w:spacing w:line="352" w:lineRule="exact"/>
              <w:jc w:val="center"/>
              <w:rPr>
                <w:rFonts w:ascii="Times New Roman" w:hAnsi="Times New Roman" w:eastAsia="方正仿宋简体" w:cs="方正仿宋简体"/>
                <w:b/>
                <w:sz w:val="24"/>
                <w:szCs w:val="24"/>
                <w:lang w:eastAsia="zh-CN"/>
              </w:rPr>
            </w:pPr>
            <w:r>
              <w:rPr>
                <w:rFonts w:ascii="Times New Roman" w:hAnsi="Times New Roman" w:eastAsia="方正仿宋简体" w:cs="方正仿宋简体"/>
                <w:b/>
                <w:sz w:val="24"/>
                <w:szCs w:val="24"/>
                <w:lang w:eastAsia="zh-CN"/>
              </w:rPr>
              <w:t>落地举措与发展成效</w:t>
            </w:r>
          </w:p>
        </w:tc>
      </w:tr>
      <w:tr w14:paraId="39D9A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trPr>
        <w:tc>
          <w:tcPr>
            <w:tcW w:w="1696" w:type="dxa"/>
            <w:vAlign w:val="center"/>
          </w:tcPr>
          <w:p w14:paraId="7EEC2DD1">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val="en-US" w:eastAsia="zh-CN"/>
              </w:rPr>
              <w:t>资源基底建设</w:t>
            </w:r>
          </w:p>
        </w:tc>
        <w:tc>
          <w:tcPr>
            <w:tcW w:w="1876" w:type="dxa"/>
            <w:vAlign w:val="center"/>
          </w:tcPr>
          <w:p w14:paraId="45A696BF">
            <w:pPr>
              <w:widowControl/>
              <w:spacing w:line="270" w:lineRule="exact"/>
              <w:jc w:val="both"/>
              <w:rPr>
                <w:rFonts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深耕非遗资源保护，完善传承培育体系。</w:t>
            </w:r>
          </w:p>
        </w:tc>
        <w:tc>
          <w:tcPr>
            <w:tcW w:w="5263" w:type="dxa"/>
            <w:vAlign w:val="center"/>
          </w:tcPr>
          <w:p w14:paraId="22F205EA">
            <w:pPr>
              <w:widowControl/>
              <w:spacing w:line="270" w:lineRule="exact"/>
              <w:jc w:val="both"/>
              <w:rPr>
                <w:rFonts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全市现有非物质文化遗产代表性项目</w:t>
            </w:r>
            <w:bookmarkStart w:id="138" w:name="OLE_LINK30"/>
            <w:r>
              <w:rPr>
                <w:rFonts w:hint="eastAsia" w:ascii="Times New Roman" w:hAnsi="Times New Roman" w:eastAsia="方正仿宋简体" w:cs="方正仿宋简体"/>
                <w:bCs/>
                <w:sz w:val="21"/>
                <w:szCs w:val="21"/>
                <w:lang w:val="en-US" w:eastAsia="zh-CN"/>
              </w:rPr>
              <w:t>1091</w:t>
            </w:r>
            <w:bookmarkEnd w:id="138"/>
            <w:r>
              <w:rPr>
                <w:rFonts w:hint="eastAsia" w:ascii="Times New Roman" w:hAnsi="Times New Roman" w:eastAsia="方正仿宋简体" w:cs="方正仿宋简体"/>
                <w:bCs/>
                <w:sz w:val="21"/>
                <w:szCs w:val="21"/>
                <w:lang w:val="en-US" w:eastAsia="zh-CN"/>
              </w:rPr>
              <w:t>项、代表性传承人414名、市级工艺美术大师6名，建成自治区级非遗传习基地17个，构建起多层次、全覆盖的非遗保护与传承体系，为民族手工业发展筑牢资源根基。</w:t>
            </w:r>
          </w:p>
        </w:tc>
      </w:tr>
      <w:tr w14:paraId="1AA3A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trPr>
        <w:tc>
          <w:tcPr>
            <w:tcW w:w="1696" w:type="dxa"/>
            <w:vAlign w:val="center"/>
          </w:tcPr>
          <w:p w14:paraId="6D848DFB">
            <w:pPr>
              <w:widowControl/>
              <w:spacing w:line="270" w:lineRule="exact"/>
              <w:jc w:val="both"/>
              <w:rPr>
                <w:rFonts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政策机制赋能</w:t>
            </w:r>
          </w:p>
        </w:tc>
        <w:tc>
          <w:tcPr>
            <w:tcW w:w="1876" w:type="dxa"/>
            <w:vAlign w:val="center"/>
          </w:tcPr>
          <w:p w14:paraId="1147C77A">
            <w:pPr>
              <w:widowControl/>
              <w:spacing w:line="270" w:lineRule="exact"/>
              <w:jc w:val="both"/>
              <w:rPr>
                <w:rFonts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强化政策激励引导，健全产业组织模式。</w:t>
            </w:r>
          </w:p>
        </w:tc>
        <w:tc>
          <w:tcPr>
            <w:tcW w:w="5263" w:type="dxa"/>
            <w:vAlign w:val="center"/>
          </w:tcPr>
          <w:p w14:paraId="09BC5F60">
            <w:pPr>
              <w:widowControl/>
              <w:spacing w:line="270" w:lineRule="exact"/>
              <w:jc w:val="both"/>
              <w:rPr>
                <w:rFonts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全面推广“</w:t>
            </w:r>
            <w:bookmarkStart w:id="139" w:name="OLE_LINK128"/>
            <w:r>
              <w:rPr>
                <w:rFonts w:hint="eastAsia" w:ascii="Times New Roman" w:hAnsi="Times New Roman" w:eastAsia="方正仿宋简体" w:cs="方正仿宋简体"/>
                <w:bCs/>
                <w:sz w:val="21"/>
                <w:szCs w:val="21"/>
                <w:lang w:eastAsia="zh-CN"/>
              </w:rPr>
              <w:t>龙头企业</w:t>
            </w:r>
            <w:r>
              <w:rPr>
                <w:rFonts w:ascii="Times New Roman" w:hAnsi="Times New Roman" w:eastAsia="方正仿宋简体" w:cs="方正仿宋简体"/>
                <w:bCs/>
                <w:sz w:val="21"/>
                <w:szCs w:val="21"/>
                <w:lang w:eastAsia="zh-CN"/>
              </w:rPr>
              <w:t>+</w:t>
            </w:r>
            <w:r>
              <w:rPr>
                <w:rFonts w:hint="eastAsia" w:ascii="Times New Roman" w:hAnsi="Times New Roman" w:eastAsia="方正仿宋简体" w:cs="方正仿宋简体"/>
                <w:bCs/>
                <w:sz w:val="21"/>
                <w:szCs w:val="21"/>
                <w:lang w:eastAsia="zh-CN"/>
              </w:rPr>
              <w:t>手工艺专业合作社</w:t>
            </w:r>
            <w:r>
              <w:rPr>
                <w:rFonts w:ascii="Times New Roman" w:hAnsi="Times New Roman" w:eastAsia="方正仿宋简体" w:cs="方正仿宋简体"/>
                <w:bCs/>
                <w:sz w:val="21"/>
                <w:szCs w:val="21"/>
                <w:lang w:eastAsia="zh-CN"/>
              </w:rPr>
              <w:t>+</w:t>
            </w:r>
            <w:r>
              <w:rPr>
                <w:rFonts w:hint="eastAsia" w:ascii="Times New Roman" w:hAnsi="Times New Roman" w:eastAsia="方正仿宋简体" w:cs="方正仿宋简体"/>
                <w:bCs/>
                <w:sz w:val="21"/>
                <w:szCs w:val="21"/>
                <w:lang w:eastAsia="zh-CN"/>
              </w:rPr>
              <w:t>非遗家庭作坊</w:t>
            </w:r>
            <w:bookmarkEnd w:id="139"/>
            <w:r>
              <w:rPr>
                <w:rFonts w:hint="eastAsia" w:ascii="Times New Roman" w:hAnsi="Times New Roman" w:eastAsia="方正仿宋简体" w:cs="方正仿宋简体"/>
                <w:bCs/>
                <w:sz w:val="21"/>
                <w:szCs w:val="21"/>
                <w:lang w:val="en-US" w:eastAsia="zh-CN"/>
              </w:rPr>
              <w:t>”利益联结模式。聂荣县嘎确牧场依托非遗手工技艺，年创收突破2000万元，辐射带动全县9个乡（镇）700余户农牧民稳定增收，推动手工业由个体零散经营向规模化抱团发展转型。</w:t>
            </w:r>
          </w:p>
        </w:tc>
      </w:tr>
      <w:tr w14:paraId="52550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96" w:type="dxa"/>
            <w:vAlign w:val="center"/>
          </w:tcPr>
          <w:p w14:paraId="13586B30">
            <w:pPr>
              <w:widowControl/>
              <w:spacing w:line="270" w:lineRule="exact"/>
              <w:jc w:val="both"/>
              <w:rPr>
                <w:rFonts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经营模式创新</w:t>
            </w:r>
          </w:p>
        </w:tc>
        <w:tc>
          <w:tcPr>
            <w:tcW w:w="1876" w:type="dxa"/>
            <w:vAlign w:val="center"/>
          </w:tcPr>
          <w:p w14:paraId="4214C018">
            <w:pPr>
              <w:widowControl/>
              <w:spacing w:line="270" w:lineRule="exact"/>
              <w:jc w:val="both"/>
              <w:rPr>
                <w:rFonts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优化生产经营机制，拓宽多元市场渠道。</w:t>
            </w:r>
          </w:p>
        </w:tc>
        <w:tc>
          <w:tcPr>
            <w:tcW w:w="5263" w:type="dxa"/>
            <w:vAlign w:val="center"/>
          </w:tcPr>
          <w:p w14:paraId="311A2047">
            <w:pPr>
              <w:widowControl/>
              <w:spacing w:line="270" w:lineRule="exact"/>
              <w:jc w:val="both"/>
              <w:rPr>
                <w:rFonts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村级合作社抱团发展成效显著，比如县尼囊村陶器专业合作社实现户户年均分红6000元，盘活传统手工技艺价值；糌粑加工合作社依托电商物流体系打通线上线下销路，年纯收入达12万余元。依托抖音等直播平台开展线上展销，2025年色尼区尼玛乡合作社线上销售额突破120万元；全市非遗工坊全年参与区内外展销12场次，实现销售额720余万元，市场覆盖面持续扩大。</w:t>
            </w:r>
          </w:p>
        </w:tc>
      </w:tr>
      <w:tr w14:paraId="3A780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trPr>
        <w:tc>
          <w:tcPr>
            <w:tcW w:w="1696" w:type="dxa"/>
            <w:vAlign w:val="center"/>
          </w:tcPr>
          <w:p w14:paraId="234DE4D5">
            <w:pPr>
              <w:widowControl/>
              <w:spacing w:line="270" w:lineRule="exact"/>
              <w:jc w:val="both"/>
              <w:rPr>
                <w:rFonts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产品融合升级</w:t>
            </w:r>
          </w:p>
        </w:tc>
        <w:tc>
          <w:tcPr>
            <w:tcW w:w="1876" w:type="dxa"/>
            <w:vAlign w:val="center"/>
          </w:tcPr>
          <w:p w14:paraId="7E507EEA">
            <w:pPr>
              <w:widowControl/>
              <w:spacing w:line="270" w:lineRule="exact"/>
              <w:jc w:val="both"/>
              <w:rPr>
                <w:rFonts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推动传统技艺迭代，培育文创融合业态。</w:t>
            </w:r>
          </w:p>
        </w:tc>
        <w:tc>
          <w:tcPr>
            <w:tcW w:w="5263" w:type="dxa"/>
            <w:vAlign w:val="center"/>
          </w:tcPr>
          <w:p w14:paraId="7121D868">
            <w:pPr>
              <w:widowControl/>
              <w:spacing w:line="270" w:lineRule="exact"/>
              <w:jc w:val="both"/>
              <w:rPr>
                <w:rFonts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技艺创造性转化，创新开发藏装文创、安达护肤系列产品、高原特色工艺品</w:t>
            </w:r>
            <w:bookmarkStart w:id="140" w:name="OLE_LINK86"/>
            <w:r>
              <w:rPr>
                <w:rFonts w:hint="eastAsia" w:ascii="Times New Roman" w:hAnsi="Times New Roman" w:eastAsia="方正仿宋简体" w:cs="方正仿宋简体"/>
                <w:bCs/>
                <w:sz w:val="21"/>
                <w:szCs w:val="21"/>
                <w:lang w:val="en-US" w:eastAsia="zh-CN"/>
              </w:rPr>
              <w:t>，</w:t>
            </w:r>
            <w:bookmarkEnd w:id="140"/>
            <w:r>
              <w:rPr>
                <w:rFonts w:hint="eastAsia" w:ascii="Times New Roman" w:hAnsi="Times New Roman" w:eastAsia="方正仿宋简体" w:cs="方正仿宋简体"/>
                <w:bCs/>
                <w:sz w:val="21"/>
                <w:szCs w:val="21"/>
                <w:lang w:val="en-US" w:eastAsia="zh-CN"/>
              </w:rPr>
              <w:t>深化“手工业+文旅”融合发展，在浙</w:t>
            </w:r>
            <w:bookmarkStart w:id="141" w:name="OLE_LINK87"/>
            <w:r>
              <w:rPr>
                <w:rFonts w:hint="eastAsia" w:ascii="Times New Roman" w:hAnsi="Times New Roman" w:eastAsia="方正仿宋简体" w:cs="方正仿宋简体"/>
                <w:bCs/>
                <w:sz w:val="21"/>
                <w:szCs w:val="21"/>
                <w:lang w:val="en-US" w:eastAsia="zh-CN"/>
              </w:rPr>
              <w:t>江余</w:t>
            </w:r>
            <w:bookmarkEnd w:id="141"/>
            <w:r>
              <w:rPr>
                <w:rFonts w:hint="eastAsia" w:ascii="Times New Roman" w:hAnsi="Times New Roman" w:eastAsia="方正仿宋简体" w:cs="方正仿宋简体"/>
                <w:bCs/>
                <w:sz w:val="21"/>
                <w:szCs w:val="21"/>
                <w:lang w:val="en-US" w:eastAsia="zh-CN"/>
              </w:rPr>
              <w:t>杭落地那曲民俗主题民宿，搭建域外文化体验与产品推介窗口，实现产业跨界融合发展。</w:t>
            </w:r>
          </w:p>
        </w:tc>
      </w:tr>
      <w:tr w14:paraId="00C13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4" w:hRule="atLeast"/>
        </w:trPr>
        <w:tc>
          <w:tcPr>
            <w:tcW w:w="1696" w:type="dxa"/>
            <w:vAlign w:val="center"/>
          </w:tcPr>
          <w:p w14:paraId="28FCE278">
            <w:pPr>
              <w:widowControl/>
              <w:spacing w:line="270" w:lineRule="exact"/>
              <w:jc w:val="both"/>
              <w:rPr>
                <w:rFonts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科创援藏赋能</w:t>
            </w:r>
          </w:p>
        </w:tc>
        <w:tc>
          <w:tcPr>
            <w:tcW w:w="1876" w:type="dxa"/>
            <w:vAlign w:val="center"/>
          </w:tcPr>
          <w:p w14:paraId="0888ECAA">
            <w:pPr>
              <w:widowControl/>
              <w:spacing w:line="270" w:lineRule="exact"/>
              <w:jc w:val="both"/>
              <w:rPr>
                <w:rFonts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依托对口援藏资源，推进技术革新与人才培育。</w:t>
            </w:r>
          </w:p>
        </w:tc>
        <w:tc>
          <w:tcPr>
            <w:tcW w:w="5263" w:type="dxa"/>
            <w:vAlign w:val="center"/>
          </w:tcPr>
          <w:p w14:paraId="07EBEBC9">
            <w:pPr>
              <w:widowControl/>
              <w:spacing w:line="270" w:lineRule="exact"/>
              <w:jc w:val="both"/>
              <w:rPr>
                <w:rFonts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借力对口援藏优势，引入“小巷三寻”先进纺织设备50台，将传统72道氆氇编织工序精简至13道，生产效能大幅提升；创新实施“牧女计划”，采用“骨干培训、回村传帮带”模式，实现技术批量推广、技艺代代传承。融合内地纺织工艺与藏北传统技法，持续迭代适配市场的新型手工产品，形成双向赋能、双向推介的产业发展格局。</w:t>
            </w:r>
          </w:p>
        </w:tc>
      </w:tr>
      <w:tr w14:paraId="54211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1696" w:type="dxa"/>
            <w:vAlign w:val="center"/>
          </w:tcPr>
          <w:p w14:paraId="0E5E0945">
            <w:pPr>
              <w:widowControl/>
              <w:spacing w:line="270" w:lineRule="exact"/>
              <w:jc w:val="both"/>
              <w:rPr>
                <w:rFonts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人才队伍建设</w:t>
            </w:r>
          </w:p>
        </w:tc>
        <w:tc>
          <w:tcPr>
            <w:tcW w:w="1876" w:type="dxa"/>
            <w:vAlign w:val="center"/>
          </w:tcPr>
          <w:p w14:paraId="489650AB">
            <w:pPr>
              <w:widowControl/>
              <w:spacing w:line="270" w:lineRule="exact"/>
              <w:jc w:val="both"/>
              <w:rPr>
                <w:rFonts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常态化开展技能培训，构建传帮带培育机制。</w:t>
            </w:r>
          </w:p>
        </w:tc>
        <w:tc>
          <w:tcPr>
            <w:tcW w:w="5263" w:type="dxa"/>
            <w:vAlign w:val="center"/>
          </w:tcPr>
          <w:p w14:paraId="49A182BB">
            <w:pPr>
              <w:widowControl/>
              <w:spacing w:line="270" w:lineRule="exact"/>
              <w:jc w:val="both"/>
              <w:rPr>
                <w:rFonts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常态化开展非遗传承、手工技艺提升专项培训，累计培训传承人600余人次，全面提升从业者专业能力与经营水平。培育一批本土手工艺带头人，如比如县藏装匠人布嘎培育学徒10人，均成功自主创业，形成“培育一人、带动一批、辐射一片”的产业培育格局。</w:t>
            </w:r>
          </w:p>
        </w:tc>
      </w:tr>
      <w:bookmarkEnd w:id="136"/>
    </w:tbl>
    <w:p w14:paraId="13850283">
      <w:pPr>
        <w:pStyle w:val="27"/>
        <w:overflowPunct w:val="0"/>
        <w:spacing w:line="556" w:lineRule="exact"/>
        <w:ind w:firstLine="640" w:firstLineChars="200"/>
        <w:jc w:val="both"/>
        <w:rPr>
          <w:rFonts w:ascii="Times New Roman" w:hAnsi="Times New Roman" w:eastAsia="方正仿宋简体" w:cs="方正仿宋简体"/>
          <w:bCs/>
          <w:sz w:val="32"/>
          <w:szCs w:val="28"/>
          <w:lang w:val="en-US"/>
        </w:rPr>
      </w:pPr>
      <w:r>
        <w:rPr>
          <w:rFonts w:hint="eastAsia" w:ascii="Times New Roman" w:hAnsi="Times New Roman" w:eastAsia="方正仿宋简体" w:cs="方正仿宋简体"/>
          <w:bCs/>
          <w:sz w:val="32"/>
          <w:szCs w:val="28"/>
          <w:lang w:val="en-US" w:eastAsia="zh-CN"/>
        </w:rPr>
        <w:t>全市民族手工业发展始终坚持传承为根、创新为魂、市场为导向、富民为核心的发展理念，实现非遗活态传承、产业提质增效、群众稳定增收有机统一。同时，对发展短板持续补齐弱项、夯实长效发展基础</w:t>
      </w:r>
      <w:r>
        <w:rPr>
          <w:rFonts w:hint="eastAsia" w:ascii="Times New Roman" w:hAnsi="Times New Roman" w:eastAsia="方正仿宋简体" w:cs="方正仿宋简体"/>
          <w:bCs/>
          <w:sz w:val="32"/>
          <w:szCs w:val="28"/>
          <w:lang w:val="en-US"/>
        </w:rPr>
        <w:t>。</w:t>
      </w:r>
      <w:r>
        <w:rPr>
          <w:rFonts w:hint="eastAsia" w:ascii="Times New Roman" w:hAnsi="Times New Roman" w:eastAsia="方正仿宋简体" w:cs="方正仿宋简体"/>
          <w:b/>
          <w:sz w:val="32"/>
          <w:szCs w:val="28"/>
          <w:lang w:val="en-US"/>
        </w:rPr>
        <w:t>一是</w:t>
      </w:r>
      <w:r>
        <w:rPr>
          <w:rFonts w:hint="eastAsia" w:ascii="Times New Roman" w:hAnsi="Times New Roman" w:eastAsia="方正仿宋简体" w:cs="方正仿宋简体"/>
          <w:bCs/>
          <w:sz w:val="32"/>
          <w:szCs w:val="28"/>
          <w:lang w:val="en-US"/>
        </w:rPr>
        <w:t>坚持机制创新赋能，激活产业内生动力。持续深化“龙头企业</w:t>
      </w:r>
      <w:r>
        <w:rPr>
          <w:rFonts w:ascii="Times New Roman" w:hAnsi="Times New Roman" w:eastAsia="方正仿宋简体" w:cs="方正仿宋简体"/>
          <w:bCs/>
          <w:sz w:val="32"/>
          <w:szCs w:val="28"/>
          <w:lang w:val="en-US"/>
        </w:rPr>
        <w:t>+</w:t>
      </w:r>
      <w:r>
        <w:rPr>
          <w:rFonts w:hint="eastAsia" w:ascii="Times New Roman" w:hAnsi="Times New Roman" w:eastAsia="方正仿宋简体" w:cs="方正仿宋简体"/>
          <w:bCs/>
          <w:sz w:val="32"/>
          <w:szCs w:val="28"/>
          <w:lang w:val="en-US"/>
        </w:rPr>
        <w:t>手工艺专业合作社</w:t>
      </w:r>
      <w:r>
        <w:rPr>
          <w:rFonts w:ascii="Times New Roman" w:hAnsi="Times New Roman" w:eastAsia="方正仿宋简体" w:cs="方正仿宋简体"/>
          <w:bCs/>
          <w:sz w:val="32"/>
          <w:szCs w:val="28"/>
          <w:lang w:val="en-US"/>
        </w:rPr>
        <w:t>+</w:t>
      </w:r>
      <w:r>
        <w:rPr>
          <w:rFonts w:hint="eastAsia" w:ascii="Times New Roman" w:hAnsi="Times New Roman" w:eastAsia="方正仿宋简体" w:cs="方正仿宋简体"/>
          <w:bCs/>
          <w:sz w:val="32"/>
          <w:szCs w:val="28"/>
          <w:lang w:val="en-US"/>
        </w:rPr>
        <w:t>非遗家庭作坊”利益联结机制，依托各类专项活动搭建技艺展示、产品展销、人才培育平台，打破传统个体经营局限，推动分散化手工生产向组织化、规模化、标准化业态转型，有效提升产业抗风险能力与整体发展质效；</w:t>
      </w:r>
      <w:r>
        <w:rPr>
          <w:rFonts w:hint="eastAsia" w:ascii="Times New Roman" w:hAnsi="Times New Roman" w:eastAsia="方正仿宋简体" w:cs="方正仿宋简体"/>
          <w:b/>
          <w:sz w:val="32"/>
          <w:szCs w:val="28"/>
          <w:lang w:val="en-US"/>
        </w:rPr>
        <w:t>二是</w:t>
      </w:r>
      <w:r>
        <w:rPr>
          <w:rFonts w:hint="eastAsia" w:ascii="Times New Roman" w:hAnsi="Times New Roman" w:eastAsia="方正仿宋简体" w:cs="方正仿宋简体"/>
          <w:bCs/>
          <w:sz w:val="32"/>
          <w:szCs w:val="28"/>
          <w:lang w:val="en-US"/>
        </w:rPr>
        <w:t>坚持技贸融合升级，拓宽双向发展空间。统筹技术革新、产品创新、渠道创优，借力援藏技术资源优化生产工艺、降低生产成本，</w:t>
      </w:r>
      <w:r>
        <w:rPr>
          <w:rFonts w:hint="eastAsia" w:ascii="Times New Roman" w:hAnsi="Times New Roman" w:eastAsia="方正仿宋简体" w:cs="方正仿宋简体"/>
          <w:bCs/>
          <w:sz w:val="32"/>
          <w:szCs w:val="28"/>
          <w:lang w:val="en-US" w:eastAsia="zh-CN"/>
        </w:rPr>
        <w:t>依托电商直播</w:t>
      </w:r>
      <w:r>
        <w:rPr>
          <w:rFonts w:hint="eastAsia" w:ascii="Times New Roman" w:hAnsi="Times New Roman" w:eastAsia="方正仿宋简体" w:cs="方正仿宋简体"/>
          <w:bCs/>
          <w:sz w:val="32"/>
          <w:szCs w:val="28"/>
          <w:lang w:val="en-US"/>
        </w:rPr>
        <w:t>、线下展会、域外文旅体验平台拓宽销售市场，推动传统民族手工产品从“本土特产”向“全国文创品牌”转变，持续提升产品附加值与市场竞争力；</w:t>
      </w:r>
      <w:r>
        <w:rPr>
          <w:rFonts w:hint="eastAsia" w:ascii="Times New Roman" w:hAnsi="Times New Roman" w:eastAsia="方正仿宋简体" w:cs="方正仿宋简体"/>
          <w:b/>
          <w:sz w:val="32"/>
          <w:szCs w:val="28"/>
          <w:lang w:val="en-US"/>
        </w:rPr>
        <w:t>三是</w:t>
      </w:r>
      <w:r>
        <w:rPr>
          <w:rFonts w:hint="eastAsia" w:ascii="Times New Roman" w:hAnsi="Times New Roman" w:eastAsia="方正仿宋简体" w:cs="方正仿宋简体"/>
          <w:bCs/>
          <w:sz w:val="32"/>
          <w:szCs w:val="28"/>
          <w:lang w:val="en-US"/>
        </w:rPr>
        <w:t>坚持人才培育固本，统筹提质补短增效。</w:t>
      </w:r>
      <w:r>
        <w:rPr>
          <w:rFonts w:hint="eastAsia" w:ascii="Times New Roman" w:hAnsi="Times New Roman" w:eastAsia="方正仿宋简体" w:cs="方正仿宋简体"/>
          <w:bCs/>
          <w:sz w:val="32"/>
          <w:szCs w:val="28"/>
          <w:lang w:val="en-US" w:eastAsia="zh-CN"/>
        </w:rPr>
        <w:t>健全非遗传承人才梯队培育体系</w:t>
      </w:r>
      <w:r>
        <w:rPr>
          <w:rFonts w:hint="eastAsia" w:ascii="Times New Roman" w:hAnsi="Times New Roman" w:eastAsia="方正仿宋简体" w:cs="方正仿宋简体"/>
          <w:bCs/>
          <w:sz w:val="32"/>
          <w:szCs w:val="28"/>
          <w:lang w:val="en-US"/>
        </w:rPr>
        <w:t>，依托传帮带模式壮大本土手工艺人才队伍。同时正视产业现存短板，针对部分业态规模偏小、技艺断层、品牌影响力不足、市场稳定性偏弱等问题，持续强化标准化培育、品牌化塑造、常态化拓市，推动民族手工业实现可持续、高质量发展，持续夯实乡村振兴富民产业支撑。</w:t>
      </w:r>
    </w:p>
    <w:p w14:paraId="70BE16C8">
      <w:pPr>
        <w:pStyle w:val="8"/>
        <w:overflowPunct w:val="0"/>
        <w:topLinePunct/>
        <w:autoSpaceDE/>
        <w:autoSpaceDN/>
        <w:spacing w:before="0" w:line="576" w:lineRule="exact"/>
        <w:ind w:left="0" w:firstLine="640" w:firstLineChars="200"/>
        <w:jc w:val="both"/>
        <w:outlineLvl w:val="1"/>
        <w:rPr>
          <w:rFonts w:ascii="Times New Roman" w:hAnsi="Times New Roman" w:eastAsia="方正楷体简体" w:cs="方正楷体简体"/>
          <w:sz w:val="32"/>
          <w:szCs w:val="32"/>
        </w:rPr>
      </w:pPr>
      <w:bookmarkStart w:id="142" w:name="_Toc243241431"/>
      <w:r>
        <w:rPr>
          <w:rFonts w:hint="eastAsia" w:ascii="Times New Roman" w:hAnsi="Times New Roman" w:eastAsia="方正楷体简体" w:cs="方正楷体简体"/>
          <w:sz w:val="32"/>
          <w:szCs w:val="32"/>
        </w:rPr>
        <w:t>（八）高原特色种植业</w:t>
      </w:r>
      <w:bookmarkEnd w:id="135"/>
      <w:bookmarkEnd w:id="142"/>
    </w:p>
    <w:p w14:paraId="477CE387">
      <w:pPr>
        <w:pStyle w:val="27"/>
        <w:overflowPunct w:val="0"/>
        <w:spacing w:line="576" w:lineRule="exact"/>
        <w:ind w:firstLine="640" w:firstLineChars="200"/>
        <w:jc w:val="both"/>
        <w:rPr>
          <w:rFonts w:ascii="Times New Roman" w:hAnsi="Times New Roman" w:eastAsia="方正仿宋简体" w:cs="方正仿宋简体"/>
          <w:bCs/>
          <w:sz w:val="32"/>
          <w:szCs w:val="28"/>
          <w:lang w:val="en-US" w:eastAsia="zh-CN"/>
        </w:rPr>
      </w:pPr>
      <w:bookmarkStart w:id="143" w:name="_Toc218422256"/>
      <w:r>
        <w:rPr>
          <w:rFonts w:hint="eastAsia" w:ascii="Times New Roman" w:hAnsi="Times New Roman" w:eastAsia="方正仿宋简体" w:cs="方正仿宋简体"/>
          <w:bCs/>
          <w:sz w:val="32"/>
          <w:szCs w:val="28"/>
          <w:lang w:val="en-US" w:eastAsia="zh-CN"/>
        </w:rPr>
        <w:t>那曲</w:t>
      </w:r>
      <w:r>
        <w:rPr>
          <w:rFonts w:hint="eastAsia" w:ascii="Times New Roman" w:hAnsi="Times New Roman" w:eastAsia="方正仿宋简体" w:cs="方正仿宋简体"/>
          <w:bCs/>
          <w:sz w:val="32"/>
          <w:szCs w:val="28"/>
          <w:lang w:val="en-US"/>
        </w:rPr>
        <w:t>市立足高海拔高寒气候特征与河谷区位资源条件，依托独特日照资源、昼夜温差优势与河谷宜耕空间，构建“河谷种植+温室设施+生态饲草+特色作物”多元发展格局，形成“小而精、特而优、生态化、高品质”的高原特色种植业体系。全市始终坚守粮食安全底线与草畜平衡原则，坚持科技赋能、生态优先、精品培育、提质增效，持续优化种植布局、改良适生品种、完善设施配套、延伸产业链条，推动高寒特色种植业从自给保障型向品质提升型、品牌增值型、生态富民型转型升级，成为全市特色农牧业融合发展、农牧民多元增收的重要基础产业。</w:t>
      </w:r>
    </w:p>
    <w:p w14:paraId="1D31890A">
      <w:pPr>
        <w:spacing w:line="576" w:lineRule="exact"/>
        <w:jc w:val="center"/>
        <w:rPr>
          <w:rFonts w:ascii="Times New Roman" w:hAnsi="Times New Roman" w:eastAsia="方正仿宋简体" w:cs="方正仿宋简体"/>
          <w:b/>
          <w:sz w:val="32"/>
          <w:szCs w:val="32"/>
          <w:lang w:eastAsia="zh-CN"/>
        </w:rPr>
      </w:pPr>
      <w:r>
        <w:rPr>
          <w:rFonts w:hint="eastAsia" w:ascii="Times New Roman" w:hAnsi="Times New Roman" w:eastAsia="方正仿宋简体" w:cs="方正仿宋简体"/>
          <w:b/>
          <w:sz w:val="32"/>
          <w:szCs w:val="32"/>
          <w:lang w:eastAsia="zh-CN"/>
        </w:rPr>
        <w:t>高原特色种植业</w:t>
      </w:r>
      <w:r>
        <w:rPr>
          <w:rFonts w:ascii="Times New Roman" w:hAnsi="Times New Roman" w:eastAsia="方正仿宋简体" w:cs="方正仿宋简体"/>
          <w:b/>
          <w:sz w:val="32"/>
          <w:szCs w:val="32"/>
          <w:lang w:eastAsia="zh-CN"/>
        </w:rPr>
        <w:t>发展核心举措及成效一览表</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6"/>
        <w:gridCol w:w="1701"/>
        <w:gridCol w:w="5438"/>
      </w:tblGrid>
      <w:tr w14:paraId="066F7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1696" w:type="dxa"/>
            <w:vAlign w:val="center"/>
          </w:tcPr>
          <w:p w14:paraId="1062F3B1">
            <w:pPr>
              <w:widowControl/>
              <w:spacing w:line="352" w:lineRule="exact"/>
              <w:jc w:val="center"/>
              <w:rPr>
                <w:rFonts w:ascii="Times New Roman" w:hAnsi="Times New Roman" w:eastAsia="方正仿宋简体" w:cs="方正仿宋简体"/>
                <w:b/>
                <w:sz w:val="24"/>
                <w:szCs w:val="24"/>
                <w:lang w:eastAsia="zh-CN"/>
              </w:rPr>
            </w:pPr>
            <w:r>
              <w:rPr>
                <w:rFonts w:ascii="Times New Roman" w:hAnsi="Times New Roman" w:eastAsia="方正仿宋简体" w:cs="方正仿宋简体"/>
                <w:b/>
                <w:sz w:val="24"/>
                <w:szCs w:val="24"/>
                <w:lang w:eastAsia="zh-CN"/>
              </w:rPr>
              <w:t>分析维度</w:t>
            </w:r>
          </w:p>
        </w:tc>
        <w:tc>
          <w:tcPr>
            <w:tcW w:w="1701" w:type="dxa"/>
            <w:vAlign w:val="center"/>
          </w:tcPr>
          <w:p w14:paraId="3F2B8379">
            <w:pPr>
              <w:widowControl/>
              <w:spacing w:line="352" w:lineRule="exact"/>
              <w:jc w:val="center"/>
              <w:rPr>
                <w:rFonts w:ascii="Times New Roman" w:hAnsi="Times New Roman" w:eastAsia="方正仿宋简体" w:cs="方正仿宋简体"/>
                <w:b/>
                <w:sz w:val="24"/>
                <w:szCs w:val="24"/>
                <w:lang w:eastAsia="zh-CN"/>
              </w:rPr>
            </w:pPr>
            <w:r>
              <w:rPr>
                <w:rFonts w:ascii="Times New Roman" w:hAnsi="Times New Roman" w:eastAsia="方正仿宋简体" w:cs="方正仿宋简体"/>
                <w:b/>
                <w:sz w:val="24"/>
                <w:szCs w:val="24"/>
                <w:lang w:eastAsia="zh-CN"/>
              </w:rPr>
              <w:t>核心实施策略</w:t>
            </w:r>
          </w:p>
        </w:tc>
        <w:tc>
          <w:tcPr>
            <w:tcW w:w="5438" w:type="dxa"/>
            <w:vAlign w:val="center"/>
          </w:tcPr>
          <w:p w14:paraId="035F9F50">
            <w:pPr>
              <w:widowControl/>
              <w:spacing w:line="352" w:lineRule="exact"/>
              <w:jc w:val="center"/>
              <w:rPr>
                <w:rFonts w:ascii="Times New Roman" w:hAnsi="Times New Roman" w:eastAsia="方正仿宋简体" w:cs="方正仿宋简体"/>
                <w:b/>
                <w:sz w:val="24"/>
                <w:szCs w:val="24"/>
                <w:lang w:eastAsia="zh-CN"/>
              </w:rPr>
            </w:pPr>
            <w:r>
              <w:rPr>
                <w:rFonts w:ascii="Times New Roman" w:hAnsi="Times New Roman" w:eastAsia="方正仿宋简体" w:cs="方正仿宋简体"/>
                <w:b/>
                <w:sz w:val="24"/>
                <w:szCs w:val="24"/>
                <w:lang w:eastAsia="zh-CN"/>
              </w:rPr>
              <w:t>落地举措与发展成效</w:t>
            </w:r>
          </w:p>
        </w:tc>
      </w:tr>
      <w:tr w14:paraId="7A053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696" w:type="dxa"/>
            <w:vAlign w:val="center"/>
          </w:tcPr>
          <w:p w14:paraId="7D627EC8">
            <w:pPr>
              <w:widowControl/>
              <w:spacing w:line="270" w:lineRule="exact"/>
              <w:jc w:val="center"/>
              <w:rPr>
                <w:rFonts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资源基底建设</w:t>
            </w:r>
          </w:p>
        </w:tc>
        <w:tc>
          <w:tcPr>
            <w:tcW w:w="1701" w:type="dxa"/>
            <w:vAlign w:val="center"/>
          </w:tcPr>
          <w:p w14:paraId="46A6CB72">
            <w:pPr>
              <w:widowControl/>
              <w:spacing w:line="270" w:lineRule="exact"/>
              <w:jc w:val="both"/>
              <w:rPr>
                <w:rFonts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依托高寒独特气候禀赋，优化分区种植布局。</w:t>
            </w:r>
          </w:p>
        </w:tc>
        <w:tc>
          <w:tcPr>
            <w:tcW w:w="5438" w:type="dxa"/>
            <w:vAlign w:val="center"/>
          </w:tcPr>
          <w:p w14:paraId="07D7B9F2">
            <w:pPr>
              <w:widowControl/>
              <w:spacing w:line="270" w:lineRule="exact"/>
              <w:jc w:val="both"/>
              <w:rPr>
                <w:rFonts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那曲平均海拔4500米以上，年日照时数超2886小时，昼夜温差大、光照充足，作物有机质积累优势显著。依托东部比如县、嘉黎县、索县河谷宜耕区域，统筹全域水资源禀赋，差异化布局粮食作物、特色经济作物、生态饲草种植，中部、西部重点发展草牧业，形成因地制宜、生态适配的种植发展格局。</w:t>
            </w:r>
          </w:p>
        </w:tc>
      </w:tr>
      <w:tr w14:paraId="01C53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trPr>
        <w:tc>
          <w:tcPr>
            <w:tcW w:w="1696" w:type="dxa"/>
            <w:vAlign w:val="center"/>
          </w:tcPr>
          <w:p w14:paraId="3439E1DA">
            <w:pPr>
              <w:widowControl/>
              <w:spacing w:line="270" w:lineRule="exact"/>
              <w:jc w:val="center"/>
              <w:rPr>
                <w:rFonts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政策主体培育</w:t>
            </w:r>
          </w:p>
        </w:tc>
        <w:tc>
          <w:tcPr>
            <w:tcW w:w="1701" w:type="dxa"/>
            <w:vAlign w:val="center"/>
          </w:tcPr>
          <w:p w14:paraId="2B9A4A94">
            <w:pPr>
              <w:widowControl/>
              <w:spacing w:line="270" w:lineRule="exact"/>
              <w:jc w:val="both"/>
              <w:rPr>
                <w:rFonts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融入顶层产业规划，壮大新型经营主体。</w:t>
            </w:r>
          </w:p>
        </w:tc>
        <w:tc>
          <w:tcPr>
            <w:tcW w:w="5438" w:type="dxa"/>
            <w:vAlign w:val="center"/>
          </w:tcPr>
          <w:p w14:paraId="592BD632">
            <w:pPr>
              <w:widowControl/>
              <w:spacing w:line="270" w:lineRule="exact"/>
              <w:jc w:val="both"/>
              <w:rPr>
                <w:rFonts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全面融入自治区“1+N”农业发展规划及那曲市“2+N”农牧业产业发展总体布局，建成1个国家级、多个自治区级农牧业产业园。培育自治区级龙头企业3家、市级龙头企业19家，发展农牧民专业合作社1616家、家庭牧场3734户，构建层级清晰、覆盖全域的产业经营体系。</w:t>
            </w:r>
          </w:p>
        </w:tc>
      </w:tr>
      <w:tr w14:paraId="10E77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trPr>
        <w:tc>
          <w:tcPr>
            <w:tcW w:w="1696" w:type="dxa"/>
            <w:vAlign w:val="center"/>
          </w:tcPr>
          <w:p w14:paraId="052E44E5">
            <w:pPr>
              <w:widowControl/>
              <w:spacing w:line="270" w:lineRule="exact"/>
              <w:jc w:val="center"/>
              <w:rPr>
                <w:rFonts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科技设施赋能</w:t>
            </w:r>
          </w:p>
        </w:tc>
        <w:tc>
          <w:tcPr>
            <w:tcW w:w="1701" w:type="dxa"/>
            <w:vAlign w:val="center"/>
          </w:tcPr>
          <w:p w14:paraId="5B15BF1D">
            <w:pPr>
              <w:widowControl/>
              <w:spacing w:line="270" w:lineRule="exact"/>
              <w:jc w:val="both"/>
              <w:rPr>
                <w:rFonts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深化科研合作攻关，完善高寒种养配套设施。</w:t>
            </w:r>
          </w:p>
        </w:tc>
        <w:tc>
          <w:tcPr>
            <w:tcW w:w="5438" w:type="dxa"/>
            <w:vAlign w:val="center"/>
          </w:tcPr>
          <w:p w14:paraId="6C5195AA">
            <w:pPr>
              <w:widowControl/>
              <w:spacing w:line="270" w:lineRule="exact"/>
              <w:jc w:val="both"/>
              <w:rPr>
                <w:rFonts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深化与中科院等科研院所战略合作，筛选高寒适生作物品种19个，完成人工种草示范2872亩。全域推广高标准温室大棚种植模式，配套建设高寒棚圈、生态游牧帐篷等基础设施，普及“自然放养+适度补饲”科学种养模式，持续提升高寒种养标准化、现代化水平。</w:t>
            </w:r>
          </w:p>
        </w:tc>
      </w:tr>
      <w:tr w14:paraId="527E5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696" w:type="dxa"/>
            <w:vAlign w:val="center"/>
          </w:tcPr>
          <w:p w14:paraId="1B1A7BC7">
            <w:pPr>
              <w:widowControl/>
              <w:spacing w:line="270" w:lineRule="exact"/>
              <w:jc w:val="center"/>
              <w:rPr>
                <w:rFonts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生态绿色发展</w:t>
            </w:r>
          </w:p>
        </w:tc>
        <w:tc>
          <w:tcPr>
            <w:tcW w:w="1701" w:type="dxa"/>
            <w:vAlign w:val="center"/>
          </w:tcPr>
          <w:p w14:paraId="620B354B">
            <w:pPr>
              <w:widowControl/>
              <w:spacing w:line="270" w:lineRule="exact"/>
              <w:jc w:val="both"/>
              <w:rPr>
                <w:rFonts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严守草畜平衡底线，推进生态修复与种养协同。</w:t>
            </w:r>
          </w:p>
        </w:tc>
        <w:tc>
          <w:tcPr>
            <w:tcW w:w="5438" w:type="dxa"/>
            <w:vAlign w:val="center"/>
          </w:tcPr>
          <w:p w14:paraId="63085A55">
            <w:pPr>
              <w:widowControl/>
              <w:spacing w:line="270" w:lineRule="exact"/>
              <w:jc w:val="both"/>
              <w:rPr>
                <w:rFonts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坚持生态优先、草畜平衡发展原则，分区优化种养布局，持续推进退化草地综合治理与生态修复，全市生态修复区植被覆盖度由13%提升至78%；通过规模化人工种草、优质饲草培育，有效缓解草场压力，实现种植业发展与高原生态保护良性循环。</w:t>
            </w:r>
          </w:p>
        </w:tc>
      </w:tr>
      <w:tr w14:paraId="1DB58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0" w:hRule="atLeast"/>
        </w:trPr>
        <w:tc>
          <w:tcPr>
            <w:tcW w:w="1696" w:type="dxa"/>
            <w:vAlign w:val="center"/>
          </w:tcPr>
          <w:p w14:paraId="53145CDE">
            <w:pPr>
              <w:widowControl/>
              <w:spacing w:line="270" w:lineRule="exact"/>
              <w:jc w:val="center"/>
              <w:rPr>
                <w:rFonts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产业质效提升</w:t>
            </w:r>
          </w:p>
        </w:tc>
        <w:tc>
          <w:tcPr>
            <w:tcW w:w="1701" w:type="dxa"/>
            <w:vAlign w:val="center"/>
          </w:tcPr>
          <w:p w14:paraId="4F3B8A1D">
            <w:pPr>
              <w:widowControl/>
              <w:spacing w:line="270" w:lineRule="exact"/>
              <w:jc w:val="both"/>
              <w:rPr>
                <w:rFonts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稳定粮食生产规模，培育特色精品业态。</w:t>
            </w:r>
          </w:p>
        </w:tc>
        <w:tc>
          <w:tcPr>
            <w:tcW w:w="5438" w:type="dxa"/>
            <w:vAlign w:val="center"/>
          </w:tcPr>
          <w:p w14:paraId="3A2E4FBB">
            <w:pPr>
              <w:widowControl/>
              <w:spacing w:line="270" w:lineRule="exact"/>
              <w:jc w:val="both"/>
              <w:rPr>
                <w:rFonts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2025年全市粮食播种面积稳定在3121.56公顷，粮食总产量达1万吨、同比增长2.15%，粮食安全保障能力持续稳固。设施农业实现突破性发展，成功试种“黑美人”土豆、高原芜菁等特色作物，培育圆根饼干等深加工产品，农畜产品加工产值达1.69亿元、同比增长42%。依托特色物产优势，那曲冬虫夏草获评“气候好产品”，高原特色农产品差异化品牌优势持续凸显。</w:t>
            </w:r>
          </w:p>
        </w:tc>
      </w:tr>
      <w:tr w14:paraId="70B25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0" w:hRule="atLeast"/>
        </w:trPr>
        <w:tc>
          <w:tcPr>
            <w:tcW w:w="1696" w:type="dxa"/>
            <w:vAlign w:val="center"/>
          </w:tcPr>
          <w:p w14:paraId="57120707">
            <w:pPr>
              <w:widowControl/>
              <w:spacing w:line="270" w:lineRule="exact"/>
              <w:jc w:val="center"/>
              <w:rPr>
                <w:rFonts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富民增收赋能</w:t>
            </w:r>
          </w:p>
        </w:tc>
        <w:tc>
          <w:tcPr>
            <w:tcW w:w="1701" w:type="dxa"/>
            <w:vAlign w:val="center"/>
          </w:tcPr>
          <w:p w14:paraId="69A474E7">
            <w:pPr>
              <w:widowControl/>
              <w:spacing w:line="270" w:lineRule="exact"/>
              <w:jc w:val="both"/>
              <w:rPr>
                <w:rFonts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推广多元种养模式，拓宽群众增收渠道。</w:t>
            </w:r>
          </w:p>
        </w:tc>
        <w:tc>
          <w:tcPr>
            <w:tcW w:w="5438" w:type="dxa"/>
            <w:vAlign w:val="center"/>
          </w:tcPr>
          <w:p w14:paraId="6525A831">
            <w:pPr>
              <w:widowControl/>
              <w:spacing w:line="270" w:lineRule="exact"/>
              <w:jc w:val="both"/>
              <w:rPr>
                <w:rFonts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大力发展温室大棚种植、庭院经济种植，推动纯牧业村产业多元转型，示范种植户户均年增收超10万元。依托“黑美人”土豆、高原芜菁、优质饲草等特色种养产业，构建“畜养+农耕”多元增收体系，有效丰富农牧民收入结构，夯实乡村振兴产业根基。</w:t>
            </w:r>
          </w:p>
        </w:tc>
      </w:tr>
    </w:tbl>
    <w:p w14:paraId="05C0BC0C">
      <w:pPr>
        <w:pStyle w:val="27"/>
        <w:overflowPunct w:val="0"/>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rPr>
        <w:t>全市高原特色种植业发展始终坚持生态优先、科技赋能、稳粮提质、品牌富民发展导向，立足高寒极端环境禀赋，走出一条适配藏北高原、兼具生态价值、民生价值与经济价值的特色种植发展道路。</w:t>
      </w:r>
      <w:r>
        <w:rPr>
          <w:rFonts w:hint="eastAsia" w:ascii="Times New Roman" w:hAnsi="Times New Roman" w:eastAsia="方正仿宋简体" w:cs="方正仿宋简体"/>
          <w:b/>
          <w:sz w:val="32"/>
          <w:szCs w:val="28"/>
          <w:lang w:val="en-US"/>
        </w:rPr>
        <w:t>一是</w:t>
      </w:r>
      <w:r>
        <w:rPr>
          <w:rFonts w:hint="eastAsia" w:ascii="Times New Roman" w:hAnsi="Times New Roman" w:eastAsia="方正仿宋简体" w:cs="方正仿宋简体"/>
          <w:bCs/>
          <w:sz w:val="32"/>
          <w:szCs w:val="28"/>
          <w:lang w:val="en-US"/>
        </w:rPr>
        <w:t>坚持科技赋能种业振兴，突破高寒种植瓶颈。持续深化产学研协同合作，精准筛选适配高海拔、强耐寒、高产出的优质种质资源，大力推广设施温室、标准化大棚、生态补播等现代化种植技术，破解高海拔种植产能低、品类少、稳定性弱的发展难题，持续提升良种覆盖率、种养标准化水平与土地产出效能；</w:t>
      </w:r>
      <w:r>
        <w:rPr>
          <w:rFonts w:hint="eastAsia" w:ascii="Times New Roman" w:hAnsi="Times New Roman" w:eastAsia="方正仿宋简体" w:cs="方正仿宋简体"/>
          <w:b/>
          <w:sz w:val="32"/>
          <w:szCs w:val="28"/>
          <w:lang w:val="en-US"/>
        </w:rPr>
        <w:t>二是</w:t>
      </w:r>
      <w:r>
        <w:rPr>
          <w:rFonts w:hint="eastAsia" w:ascii="Times New Roman" w:hAnsi="Times New Roman" w:eastAsia="方正仿宋简体" w:cs="方正仿宋简体"/>
          <w:bCs/>
          <w:sz w:val="32"/>
          <w:szCs w:val="28"/>
          <w:lang w:val="en-US"/>
        </w:rPr>
        <w:t>坚持生态循环发展，筑牢绿色产业根基。始终以草畜平衡为核心准则，统筹特色作物种植、优质饲草培育、退化草地修复，优化全域种养空间布局，构建“种植涵养草场、饲草支撑畜牧、生态反哺产业”的循环发展模式，实现粮食安全保障、产业提质增效与高原生态保护协同共赢；</w:t>
      </w:r>
      <w:r>
        <w:rPr>
          <w:rFonts w:hint="eastAsia" w:ascii="Times New Roman" w:hAnsi="Times New Roman" w:eastAsia="方正仿宋简体" w:cs="方正仿宋简体"/>
          <w:b/>
          <w:sz w:val="32"/>
          <w:szCs w:val="28"/>
          <w:lang w:val="en-US"/>
        </w:rPr>
        <w:t>三是</w:t>
      </w:r>
      <w:r>
        <w:rPr>
          <w:rFonts w:hint="eastAsia" w:ascii="Times New Roman" w:hAnsi="Times New Roman" w:eastAsia="方正仿宋简体" w:cs="方正仿宋简体"/>
          <w:bCs/>
          <w:sz w:val="32"/>
          <w:szCs w:val="28"/>
          <w:lang w:val="en-US"/>
        </w:rPr>
        <w:t>坚持品牌赋能延链，拓宽富民增收路径。持续优化种植结构，深耕“黑美人”土豆、高原芜菁等特色优势品类，完善“种植+加工+电商”全产业链条，推进特色农产品标准化、品牌化建设。依托庭院种植、示范基地、合作社抱团发展模式，持续扩大产业覆盖面，带动广大农牧民就近增收、稳定致富，推动高原特色种植业从基础民生保障产业向高质量特色富民产业转型升级。</w:t>
      </w:r>
    </w:p>
    <w:p w14:paraId="4DFAD81F">
      <w:pPr>
        <w:pStyle w:val="8"/>
        <w:overflowPunct w:val="0"/>
        <w:topLinePunct/>
        <w:autoSpaceDE/>
        <w:autoSpaceDN/>
        <w:spacing w:before="0" w:line="576" w:lineRule="exact"/>
        <w:ind w:left="0" w:firstLine="640" w:firstLineChars="200"/>
        <w:jc w:val="both"/>
        <w:outlineLvl w:val="1"/>
        <w:rPr>
          <w:rFonts w:ascii="Times New Roman" w:hAnsi="Times New Roman" w:eastAsia="方正楷体简体" w:cs="方正楷体简体"/>
          <w:sz w:val="32"/>
          <w:szCs w:val="32"/>
        </w:rPr>
      </w:pPr>
      <w:bookmarkStart w:id="144" w:name="_Toc243241432"/>
      <w:bookmarkStart w:id="145" w:name="OLE_LINK259"/>
      <w:r>
        <w:rPr>
          <w:rFonts w:hint="eastAsia" w:ascii="Times New Roman" w:hAnsi="Times New Roman" w:eastAsia="方正楷体简体" w:cs="方正楷体简体"/>
          <w:sz w:val="32"/>
          <w:szCs w:val="32"/>
        </w:rPr>
        <w:t>（</w:t>
      </w:r>
      <w:r>
        <w:rPr>
          <w:rFonts w:ascii="Times New Roman" w:hAnsi="Times New Roman" w:eastAsia="方正楷体简体" w:cs="方正楷体简体"/>
          <w:sz w:val="32"/>
          <w:szCs w:val="32"/>
        </w:rPr>
        <w:t>九）天然饮用水产业</w:t>
      </w:r>
      <w:bookmarkEnd w:id="144"/>
    </w:p>
    <w:bookmarkEnd w:id="145"/>
    <w:p w14:paraId="2B420D35">
      <w:pPr>
        <w:pStyle w:val="27"/>
        <w:overflowPunct w:val="0"/>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那曲市天然饮用水产业依托世界级极地水源禀赋，是全市重点培育的特色潜力产业。全市境内湖泊、冰川、地下水资源储量充沛，“一塔四源”重点水源地集群资源特质差异化明显，水源具备低钠、富含多种人体有益微量元素的优良品质，具备发展高端天然饮用水得天独厚的资源条件。目前产业已经完成龙头企业引进落地，水厂硬件产能布局基本成型，藏北物流仓储配套持续完善，生产加工、仓储外运基础链条初步搭建，借力“西藏好水”省级公共品牌，有序开发高端功能水、极地文创定制水等新产品形态，二维码溯源体系建设稳步推进。</w:t>
      </w:r>
    </w:p>
    <w:p w14:paraId="20016BF8">
      <w:pPr>
        <w:pStyle w:val="27"/>
        <w:overflowPunct w:val="0"/>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整体来看，产业仍处于培育起步阶段，尚未形成规模经济体量与强大的市场品牌竞争力，高海拔条件带来设备运维成本偏高，产能利用率有待进一步提升，产业集群效应尚未显现，本土市场经营主体培育仍需持续发力。现阶段主要聚焦水源地生态保护管控、高海拔生产工艺优化完善、区域公共品牌培育、产销渠道拓展等基础工作，距离成长为全市战略性支柱产业仍有较长培育周期。</w:t>
      </w:r>
    </w:p>
    <w:p w14:paraId="7197C808">
      <w:pPr>
        <w:pStyle w:val="8"/>
        <w:overflowPunct w:val="0"/>
        <w:topLinePunct/>
        <w:autoSpaceDE/>
        <w:autoSpaceDN/>
        <w:spacing w:before="0" w:line="576" w:lineRule="exact"/>
        <w:ind w:left="0" w:firstLine="640" w:firstLineChars="200"/>
        <w:jc w:val="both"/>
        <w:outlineLvl w:val="1"/>
        <w:rPr>
          <w:rFonts w:ascii="Times New Roman" w:hAnsi="Times New Roman" w:eastAsia="方正楷体简体" w:cs="方正楷体简体"/>
          <w:sz w:val="32"/>
          <w:szCs w:val="32"/>
        </w:rPr>
      </w:pPr>
      <w:bookmarkStart w:id="146" w:name="_Toc243241433"/>
      <w:r>
        <w:rPr>
          <w:rFonts w:ascii="Times New Roman" w:hAnsi="Times New Roman" w:eastAsia="方正楷体简体" w:cs="方正楷体简体"/>
          <w:sz w:val="32"/>
          <w:szCs w:val="32"/>
        </w:rPr>
        <w:t>（十）卤虫卵产业</w:t>
      </w:r>
      <w:bookmarkEnd w:id="146"/>
    </w:p>
    <w:p w14:paraId="66E1CAEC">
      <w:pPr>
        <w:pStyle w:val="27"/>
        <w:overflowPunct w:val="0"/>
        <w:spacing w:line="576" w:lineRule="exact"/>
        <w:ind w:firstLine="640" w:firstLineChars="200"/>
        <w:jc w:val="both"/>
        <w:rPr>
          <w:rFonts w:ascii="Times New Roman" w:hAnsi="Times New Roman" w:eastAsia="方正仿宋简体" w:cs="方正仿宋简体"/>
          <w:bCs/>
          <w:sz w:val="32"/>
          <w:szCs w:val="28"/>
          <w:lang w:val="en-US" w:eastAsia="zh-CN"/>
        </w:rPr>
      </w:pPr>
      <w:r>
        <w:rPr>
          <w:rFonts w:ascii="Times New Roman" w:hAnsi="Times New Roman" w:eastAsia="方正仿宋简体" w:cs="方正仿宋简体"/>
          <w:bCs/>
          <w:sz w:val="32"/>
          <w:szCs w:val="28"/>
          <w:lang w:val="en-US" w:eastAsia="zh-CN"/>
        </w:rPr>
        <w:t>那曲市卤虫卵产业依托双湖县其香错盐湖独一无二的极地盐湖资源，是高原特色生物领域极具富民效应的潜力产业。其香错盐湖产出卤虫卵</w:t>
      </w:r>
      <w:r>
        <w:rPr>
          <w:rFonts w:ascii="Times New Roman" w:hAnsi="Times New Roman" w:eastAsia="方正仿宋简体" w:cs="方正仿宋简体"/>
          <w:bCs/>
          <w:sz w:val="32"/>
          <w:szCs w:val="28"/>
          <w:lang w:val="en-US"/>
        </w:rPr>
        <w:t>孵化率</w:t>
      </w:r>
      <w:r>
        <w:rPr>
          <w:rFonts w:ascii="Times New Roman" w:hAnsi="Times New Roman" w:eastAsia="方正仿宋简体" w:cs="方正仿宋简体"/>
          <w:bCs/>
          <w:sz w:val="32"/>
          <w:szCs w:val="28"/>
          <w:lang w:val="en-US" w:eastAsia="zh-CN"/>
        </w:rPr>
        <w:t>高、营养密度大，产品品质竞争优势突出。依托援藏资金建成卤虫卵深加工厂，实现从毛料原料外销向本地化精深加工转型，加工增值效益得到显现，加工分选、质量检测硬件条件基本具备；严格落实生态配额捕捞管理制度，规范湖区捕捞作业流程，产业带动牧民群众增收成效已经显现，已经成为双湖县重要的富民特色产业。</w:t>
      </w:r>
    </w:p>
    <w:p w14:paraId="7F32AED9">
      <w:pPr>
        <w:pStyle w:val="27"/>
        <w:overflowPunct w:val="0"/>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受制于整体发展阶段，当前产业总体体量偏小，产业链条相对偏短，高附加值产品开发不足。高海拔厂区运维成本较高，高原冷链物流配套存在短板，专业技术运营人才短缺，“极地海金沙”区域公共品牌仍在培育过程中。产业以保护优先、限量开发为原则，现阶段重点做好盐湖生态监测管控、捕捞配额执行、精深加工工艺迭代、产销对接等工作，持续夯实产业发展基础，着力打造高原特色生物产业新增长极。</w:t>
      </w:r>
    </w:p>
    <w:p w14:paraId="566AC958">
      <w:pPr>
        <w:pStyle w:val="8"/>
        <w:overflowPunct w:val="0"/>
        <w:topLinePunct/>
        <w:autoSpaceDE/>
        <w:autoSpaceDN/>
        <w:spacing w:before="0" w:line="576" w:lineRule="exact"/>
        <w:ind w:left="0" w:firstLine="640" w:firstLineChars="200"/>
        <w:jc w:val="both"/>
        <w:outlineLvl w:val="1"/>
        <w:rPr>
          <w:rFonts w:ascii="Times New Roman" w:hAnsi="Times New Roman" w:eastAsia="方正楷体简体" w:cs="方正楷体简体"/>
          <w:sz w:val="32"/>
          <w:szCs w:val="32"/>
        </w:rPr>
      </w:pPr>
      <w:bookmarkStart w:id="147" w:name="_Toc243241434"/>
      <w:r>
        <w:rPr>
          <w:rFonts w:ascii="Times New Roman" w:hAnsi="Times New Roman" w:eastAsia="方正楷体简体" w:cs="方正楷体简体"/>
          <w:sz w:val="32"/>
          <w:szCs w:val="32"/>
        </w:rPr>
        <w:t>（十一）低空经济</w:t>
      </w:r>
      <w:bookmarkEnd w:id="147"/>
    </w:p>
    <w:p w14:paraId="59BB2164">
      <w:pPr>
        <w:pStyle w:val="27"/>
        <w:overflowPunct w:val="0"/>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那曲市低空经济属于全市重点布局培育的新兴战略产业，目前整体处于零星试点示范阶段，尚未形成完整的产业体系。那曲地域辽阔、地广人稀，高原极端环境造就国内稀缺的航空器高海拔实测场景，在草场巡护、野生动物监测、草原防火、边境管控、雪灾地质灾害应急救援、偏远牧区物资投送等方面存在刚性现实应用需求。依托自治区通用航空发展规划政策支撑，部分无人机机型已经完成本地高海拔试飞测试，</w:t>
      </w:r>
      <w:bookmarkStart w:id="148" w:name="OLE_LINK140"/>
      <w:r>
        <w:rPr>
          <w:rFonts w:hint="eastAsia" w:ascii="Times New Roman" w:hAnsi="Times New Roman" w:eastAsia="方正仿宋简体" w:cs="方正仿宋简体"/>
          <w:bCs/>
          <w:sz w:val="32"/>
          <w:szCs w:val="28"/>
          <w:lang w:val="en-US" w:eastAsia="zh-CN"/>
        </w:rPr>
        <w:t>部分政务类巡检、应急救援试点飞行任务</w:t>
      </w:r>
      <w:r>
        <w:rPr>
          <w:rFonts w:hint="eastAsia" w:ascii="Times New Roman" w:hAnsi="Times New Roman" w:eastAsia="方正仿宋简体" w:cs="方正仿宋简体"/>
          <w:bCs/>
          <w:sz w:val="32"/>
          <w:szCs w:val="28"/>
          <w:lang w:eastAsia="zh-CN"/>
        </w:rPr>
        <w:t>方案论证与前期准备有序推进</w:t>
      </w:r>
      <w:r>
        <w:rPr>
          <w:rFonts w:hint="eastAsia" w:ascii="Times New Roman" w:hAnsi="Times New Roman" w:eastAsia="方正仿宋简体" w:cs="方正仿宋简体"/>
          <w:bCs/>
          <w:sz w:val="32"/>
          <w:szCs w:val="28"/>
          <w:lang w:val="en-US" w:eastAsia="zh-CN"/>
        </w:rPr>
        <w:t>，分布式起降点、低空智能管控平台等基础设施正处于谋划布局阶段。</w:t>
      </w:r>
    </w:p>
    <w:bookmarkEnd w:id="148"/>
    <w:p w14:paraId="7AFCCCCC">
      <w:pPr>
        <w:pStyle w:val="27"/>
        <w:overflowPunct w:val="0"/>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现阶段产业经济体量小，市场化运营主体稀缺，全产业链配套尚未成型，高海拔设备运维难度大，配套基础设施不完善，专业技术人才缺口突出，商业化场景仍在探索验证。坚持试点先行、场景牵引的发展思路，优先做强政务刚需应用场景，逐步积累高原运行实测数据，探索高原机型运行运维地方标准，稳步培育本土作业运维力量，中长期打造藏北高原低空经济应用示范中心。</w:t>
      </w:r>
    </w:p>
    <w:p w14:paraId="4F499549">
      <w:pPr>
        <w:pStyle w:val="8"/>
        <w:overflowPunct w:val="0"/>
        <w:topLinePunct/>
        <w:autoSpaceDE/>
        <w:autoSpaceDN/>
        <w:spacing w:before="0" w:line="576" w:lineRule="exact"/>
        <w:ind w:left="0" w:firstLine="640" w:firstLineChars="200"/>
        <w:jc w:val="both"/>
        <w:outlineLvl w:val="1"/>
        <w:rPr>
          <w:rFonts w:ascii="Times New Roman" w:hAnsi="Times New Roman" w:eastAsia="方正楷体简体" w:cs="方正楷体简体"/>
          <w:sz w:val="32"/>
          <w:szCs w:val="32"/>
        </w:rPr>
      </w:pPr>
      <w:bookmarkStart w:id="149" w:name="_Toc243241435"/>
      <w:r>
        <w:rPr>
          <w:rFonts w:ascii="Times New Roman" w:hAnsi="Times New Roman" w:eastAsia="方正楷体简体" w:cs="方正楷体简体"/>
          <w:sz w:val="32"/>
          <w:szCs w:val="32"/>
        </w:rPr>
        <w:t>（十二）算力经济</w:t>
      </w:r>
      <w:bookmarkEnd w:id="149"/>
    </w:p>
    <w:p w14:paraId="54F0F001">
      <w:pPr>
        <w:pStyle w:val="27"/>
        <w:overflowPunct w:val="0"/>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那曲市算力经济是对标西藏“算力珠峰”建设布局培育的新兴战略产业，尚处于前期规划布局、场景零星试点的培育阶段。那曲拥有高原天然冷源优势与规模可观的清洁能源装机，具备发展绿色算力的独特资源条件；全市通信光缆、5G网络等数字底座持续完善，为边缘算力节点建设提供基础条件。按照自治区部署，那曲定位为全区按需布局的边缘特色算力节点，重点面向承接东部离线存储、灾备备份、AI模型训练，同时支撑本地智慧牧业、低空智管、生态遥感等行业低时延计算需求，相关智算节点、数据分中心项目正在有序推进前期工作。</w:t>
      </w:r>
    </w:p>
    <w:p w14:paraId="3A343214">
      <w:pPr>
        <w:pStyle w:val="27"/>
        <w:overflowPunct w:val="0"/>
        <w:spacing w:line="576" w:lineRule="exact"/>
        <w:ind w:firstLine="640" w:firstLineChars="200"/>
        <w:jc w:val="both"/>
        <w:rPr>
          <w:rFonts w:ascii="Times New Roman" w:hAnsi="Times New Roman" w:eastAsia="方正仿宋简体" w:cs="方正仿宋简体"/>
          <w:bCs/>
          <w:sz w:val="32"/>
          <w:szCs w:val="28"/>
          <w:lang w:val="en-US" w:eastAsia="zh-CN"/>
        </w:rPr>
      </w:pPr>
      <w:r>
        <w:rPr>
          <w:rFonts w:ascii="Times New Roman" w:hAnsi="Times New Roman" w:eastAsia="方正仿宋简体" w:cs="方正仿宋简体"/>
          <w:bCs/>
          <w:sz w:val="32"/>
          <w:szCs w:val="28"/>
          <w:lang w:val="en-US" w:eastAsia="zh-CN"/>
        </w:rPr>
        <w:t>当前产业尚未形成规模化算力供给能力，市场主体、完整产业链配套仍在培育，跨区域直连带宽资源存在短板，本土数字专业人才供给不足，本地规模化算力应用市场尚需持续培育。现阶段主要聚焦算网基础设施前期建设、高原机房适配技术攻关、绿电</w:t>
      </w:r>
      <w:r>
        <w:rPr>
          <w:rFonts w:ascii="Times New Roman" w:hAnsi="Times New Roman" w:eastAsia="方正仿宋简体" w:cs="方正仿宋简体"/>
          <w:bCs/>
          <w:sz w:val="32"/>
          <w:szCs w:val="28"/>
          <w:lang w:val="en-US" w:eastAsia="zh-CN"/>
        </w:rPr>
        <w:noBreakHyphen/>
      </w:r>
      <w:r>
        <w:rPr>
          <w:rFonts w:ascii="Times New Roman" w:hAnsi="Times New Roman" w:eastAsia="方正仿宋简体" w:cs="方正仿宋简体"/>
          <w:bCs/>
          <w:sz w:val="32"/>
          <w:szCs w:val="28"/>
          <w:lang w:val="en-US" w:eastAsia="zh-CN"/>
        </w:rPr>
        <w:t>算力协同机制研究，坚持差异化特色化发展路径，不照搬内地大规模算力枢纽建设模式，逐步建设藏北高原特色边缘算力示范节点。</w:t>
      </w:r>
    </w:p>
    <w:bookmarkEnd w:id="91"/>
    <w:p w14:paraId="7F71E953">
      <w:pPr>
        <w:pStyle w:val="8"/>
        <w:overflowPunct w:val="0"/>
        <w:topLinePunct/>
        <w:autoSpaceDE/>
        <w:autoSpaceDN/>
        <w:spacing w:before="0" w:line="576" w:lineRule="exact"/>
        <w:ind w:left="0" w:firstLine="640" w:firstLineChars="200"/>
        <w:jc w:val="both"/>
        <w:outlineLvl w:val="0"/>
        <w:rPr>
          <w:rFonts w:ascii="Times New Roman" w:hAnsi="Times New Roman" w:eastAsia="方正黑体简体" w:cs="方正黑体简体"/>
          <w:sz w:val="32"/>
          <w:szCs w:val="32"/>
          <w:lang w:val="en-US" w:eastAsia="zh-CN"/>
        </w:rPr>
      </w:pPr>
      <w:bookmarkStart w:id="150" w:name="_Toc243241436"/>
      <w:r>
        <w:rPr>
          <w:rFonts w:hint="eastAsia" w:ascii="Times New Roman" w:hAnsi="Times New Roman" w:eastAsia="方正黑体简体" w:cs="方正黑体简体"/>
          <w:sz w:val="32"/>
          <w:szCs w:val="32"/>
          <w:lang w:val="en-US" w:eastAsia="zh-CN"/>
        </w:rPr>
        <w:t>三、产业空间分布特征</w:t>
      </w:r>
      <w:bookmarkEnd w:id="143"/>
      <w:bookmarkEnd w:id="150"/>
    </w:p>
    <w:p w14:paraId="501120F8">
      <w:pPr>
        <w:pStyle w:val="27"/>
        <w:overflowPunct w:val="0"/>
        <w:spacing w:line="576" w:lineRule="exact"/>
        <w:ind w:firstLine="640" w:firstLineChars="200"/>
        <w:jc w:val="both"/>
        <w:rPr>
          <w:rFonts w:ascii="Times New Roman" w:hAnsi="Times New Roman" w:eastAsia="方正仿宋简体" w:cs="方正仿宋简体"/>
          <w:bCs/>
          <w:sz w:val="32"/>
          <w:szCs w:val="28"/>
          <w:lang w:val="en-US" w:eastAsia="zh-CN"/>
        </w:rPr>
      </w:pPr>
      <w:r>
        <w:rPr>
          <w:rFonts w:ascii="Times New Roman" w:hAnsi="Times New Roman" w:eastAsia="方正仿宋简体" w:cs="方正仿宋简体"/>
          <w:bCs/>
          <w:sz w:val="32"/>
          <w:szCs w:val="28"/>
          <w:lang w:val="en-US"/>
        </w:rPr>
        <w:t>综合</w:t>
      </w:r>
      <w:r>
        <w:rPr>
          <w:rFonts w:hint="eastAsia" w:ascii="Times New Roman" w:hAnsi="Times New Roman" w:eastAsia="方正仿宋简体" w:cs="方正仿宋简体"/>
          <w:bCs/>
          <w:sz w:val="32"/>
          <w:szCs w:val="28"/>
          <w:lang w:val="en-US"/>
        </w:rPr>
        <w:t>那曲</w:t>
      </w:r>
      <w:r>
        <w:rPr>
          <w:rFonts w:ascii="Times New Roman" w:hAnsi="Times New Roman" w:eastAsia="方正仿宋简体" w:cs="方正仿宋简体"/>
          <w:bCs/>
          <w:sz w:val="32"/>
          <w:szCs w:val="28"/>
          <w:lang w:val="en-US"/>
        </w:rPr>
        <w:t>资源禀赋、地理区位、交通廊道、生态功能分区及产业发展基础，那曲市特色产业整体呈现中部引领、东部多元、西部集聚，整体散点、沿路集聚、依资源布局的空间格局。产业空间布局深度受制于高原生态约束、资源空间分异和交通基础设施条件，县域产业差异化、特色化、梯度化发展特征显著，逐步形成功能清晰、错位互补、协同联动</w:t>
      </w:r>
      <w:r>
        <w:rPr>
          <w:rFonts w:ascii="Times New Roman" w:hAnsi="Times New Roman" w:eastAsia="方正仿宋简体" w:cs="方正仿宋简体"/>
          <w:bCs/>
          <w:sz w:val="32"/>
          <w:szCs w:val="28"/>
          <w:lang w:val="en-US" w:eastAsia="zh-CN"/>
        </w:rPr>
        <w:t>的全域产业发展空间体系。</w:t>
      </w:r>
    </w:p>
    <w:p w14:paraId="3C2AA1D6">
      <w:pPr>
        <w:pStyle w:val="8"/>
        <w:overflowPunct w:val="0"/>
        <w:topLinePunct/>
        <w:autoSpaceDE/>
        <w:autoSpaceDN/>
        <w:spacing w:before="0" w:line="576" w:lineRule="exact"/>
        <w:ind w:left="0" w:firstLine="640" w:firstLineChars="200"/>
        <w:jc w:val="both"/>
        <w:outlineLvl w:val="1"/>
        <w:rPr>
          <w:rFonts w:ascii="Times New Roman" w:hAnsi="Times New Roman" w:eastAsia="方正楷体简体" w:cs="方正楷体简体"/>
          <w:sz w:val="32"/>
          <w:szCs w:val="32"/>
        </w:rPr>
      </w:pPr>
      <w:bookmarkStart w:id="151" w:name="_Toc243241437"/>
      <w:r>
        <w:rPr>
          <w:rFonts w:ascii="Times New Roman" w:hAnsi="Times New Roman" w:eastAsia="方正楷体简体" w:cs="方正楷体简体"/>
          <w:sz w:val="32"/>
          <w:szCs w:val="32"/>
        </w:rPr>
        <w:t>（一）总体分布格局</w:t>
      </w:r>
      <w:bookmarkEnd w:id="151"/>
    </w:p>
    <w:p w14:paraId="4A8F5D1E">
      <w:pPr>
        <w:pStyle w:val="27"/>
        <w:overflowPunct w:val="0"/>
        <w:spacing w:line="576" w:lineRule="exact"/>
        <w:ind w:firstLine="640" w:firstLineChars="200"/>
        <w:jc w:val="both"/>
        <w:rPr>
          <w:rFonts w:hint="eastAsia" w:ascii="Times New Roman" w:hAnsi="Times New Roman" w:eastAsia="方正仿宋简体" w:cs="方正仿宋简体"/>
          <w:bCs/>
          <w:sz w:val="32"/>
          <w:szCs w:val="28"/>
          <w:lang w:val="en-US"/>
        </w:rPr>
      </w:pPr>
      <w:r>
        <w:rPr>
          <w:rFonts w:hint="eastAsia" w:ascii="Times New Roman" w:hAnsi="Times New Roman" w:eastAsia="方正仿宋简体" w:cs="方正仿宋简体"/>
          <w:bCs/>
          <w:sz w:val="32"/>
          <w:szCs w:val="28"/>
          <w:lang w:val="en-US" w:eastAsia="zh-CN"/>
        </w:rPr>
        <w:t>全市产业空间非均质特征突出，依托自然地理单元、主干交通路网与资源富集区域，差异化形成中部核心发展带、东部多元产业带、西部生态畜牧带三大功能产业带，构建起“点轴联动、带状集</w:t>
      </w:r>
      <w:r>
        <w:rPr>
          <w:rFonts w:hint="eastAsia" w:ascii="Times New Roman" w:hAnsi="Times New Roman" w:eastAsia="方正仿宋简体" w:cs="方正仿宋简体"/>
          <w:bCs/>
          <w:sz w:val="32"/>
          <w:szCs w:val="28"/>
          <w:lang w:val="en-US"/>
        </w:rPr>
        <w:t>聚、全域支撑”的总体发展格局。</w:t>
      </w:r>
    </w:p>
    <w:p w14:paraId="78F42196">
      <w:pPr>
        <w:pStyle w:val="29"/>
        <w:spacing w:line="576" w:lineRule="exact"/>
        <w:ind w:firstLine="640" w:firstLineChars="200"/>
        <w:jc w:val="both"/>
        <w:outlineLvl w:val="2"/>
        <w:rPr>
          <w:rFonts w:hint="eastAsia" w:ascii="Times New Roman" w:hAnsi="Times New Roman" w:eastAsia="方正仿宋简体" w:cs="方正仿宋简体"/>
          <w:bCs/>
          <w:sz w:val="32"/>
          <w:szCs w:val="28"/>
          <w:lang w:eastAsia="zh-CN"/>
        </w:rPr>
      </w:pPr>
      <w:bookmarkStart w:id="152" w:name="_Toc243241438"/>
      <w:bookmarkStart w:id="153" w:name="OLE_LINK106"/>
      <w:r>
        <w:rPr>
          <w:rFonts w:hint="eastAsia" w:ascii="Times New Roman" w:hAnsi="Times New Roman" w:eastAsia="方正仿宋简体" w:cs="方正仿宋简体"/>
          <w:bCs/>
          <w:sz w:val="32"/>
          <w:szCs w:val="28"/>
          <w:lang w:eastAsia="zh-CN"/>
        </w:rPr>
        <w:t>1．中部核心发展带</w:t>
      </w:r>
      <w:bookmarkEnd w:id="152"/>
    </w:p>
    <w:p w14:paraId="48B96197">
      <w:pPr>
        <w:pStyle w:val="27"/>
        <w:overflowPunct w:val="0"/>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rPr>
        <w:t>以色尼区为核心枢纽，沿G109国道、青藏铁路纵向延展，是全市产业能级最高</w:t>
      </w:r>
      <w:r>
        <w:rPr>
          <w:rFonts w:hint="eastAsia" w:ascii="Times New Roman" w:hAnsi="Times New Roman" w:eastAsia="方正仿宋简体" w:cs="方正仿宋简体"/>
          <w:bCs/>
          <w:sz w:val="32"/>
          <w:szCs w:val="28"/>
          <w:lang w:val="en-US" w:eastAsia="zh-CN"/>
        </w:rPr>
        <w:t>、业态最丰富、集聚效应最强的核心增长极。色尼区作为全市政治、经济、交通、商贸中心，具备极强的要素集聚、示范引领、产销对接和辐射带动功能。全域支柱性的高原畜牧业虽覆盖全市，但畜产品精深加工、冷链集散、品牌运营等高端环节高度集聚于中部区域。</w:t>
      </w:r>
    </w:p>
    <w:p w14:paraId="0AE1BF7E">
      <w:pPr>
        <w:pStyle w:val="27"/>
        <w:overflowPunct w:val="0"/>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重点布局五大主导业态：</w:t>
      </w:r>
      <w:r>
        <w:rPr>
          <w:rFonts w:hint="eastAsia" w:ascii="Times New Roman" w:hAnsi="Times New Roman" w:eastAsia="方正仿宋简体" w:cs="方正仿宋简体"/>
          <w:b/>
          <w:sz w:val="32"/>
          <w:szCs w:val="28"/>
          <w:lang w:val="en-US" w:eastAsia="zh-CN"/>
        </w:rPr>
        <w:t>一是</w:t>
      </w:r>
      <w:r>
        <w:rPr>
          <w:rFonts w:hint="eastAsia" w:ascii="Times New Roman" w:hAnsi="Times New Roman" w:eastAsia="方正仿宋简体" w:cs="方正仿宋简体"/>
          <w:bCs/>
          <w:sz w:val="32"/>
          <w:szCs w:val="28"/>
          <w:lang w:val="en-US" w:eastAsia="zh-CN"/>
        </w:rPr>
        <w:t>清洁能源产业，色尼区、古露镇为那曲风光资源开发核心区，集聚欧玛亭嘎风电、甘丹康桑光伏储能等标杆项目；</w:t>
      </w:r>
      <w:r>
        <w:rPr>
          <w:rFonts w:hint="eastAsia" w:ascii="Times New Roman" w:hAnsi="Times New Roman" w:eastAsia="方正仿宋简体" w:cs="方正仿宋简体"/>
          <w:b/>
          <w:sz w:val="32"/>
          <w:szCs w:val="28"/>
          <w:lang w:val="en-US" w:eastAsia="zh-CN"/>
        </w:rPr>
        <w:t>二是</w:t>
      </w:r>
      <w:r>
        <w:rPr>
          <w:rFonts w:hint="eastAsia" w:ascii="Times New Roman" w:hAnsi="Times New Roman" w:eastAsia="方正仿宋简体" w:cs="方正仿宋简体"/>
          <w:bCs/>
          <w:sz w:val="32"/>
          <w:szCs w:val="28"/>
          <w:lang w:val="en-US" w:eastAsia="zh-CN"/>
        </w:rPr>
        <w:t>现代高效牧业，依托国家级现代农业产业园，集聚嘎尔德等龙头企业，聚焦肉奶精深加工、良种繁育、标准化养殖，</w:t>
      </w:r>
      <w:r>
        <w:rPr>
          <w:rFonts w:hint="eastAsia" w:ascii="Times New Roman" w:hAnsi="Times New Roman" w:eastAsia="方正仿宋简体" w:cs="方正仿宋简体"/>
          <w:bCs/>
          <w:sz w:val="32"/>
          <w:szCs w:val="28"/>
          <w:lang w:eastAsia="zh-CN"/>
        </w:rPr>
        <w:t>推进利益联结紧密的“龙头企业+合作社+家庭牧场+牧户”模式的发展；</w:t>
      </w:r>
      <w:r>
        <w:rPr>
          <w:rFonts w:hint="eastAsia" w:ascii="Times New Roman" w:hAnsi="Times New Roman" w:eastAsia="方正仿宋简体" w:cs="方正仿宋简体"/>
          <w:b/>
          <w:bCs w:val="0"/>
          <w:sz w:val="32"/>
          <w:szCs w:val="28"/>
          <w:lang w:eastAsia="zh-CN"/>
        </w:rPr>
        <w:t>三是</w:t>
      </w:r>
      <w:r>
        <w:rPr>
          <w:rFonts w:hint="eastAsia" w:ascii="Times New Roman" w:hAnsi="Times New Roman" w:eastAsia="方正仿宋简体" w:cs="方正仿宋简体"/>
          <w:bCs/>
          <w:sz w:val="32"/>
          <w:szCs w:val="28"/>
          <w:lang w:eastAsia="zh-CN"/>
        </w:rPr>
        <w:t>商贸物流产业，依托已建成运营的青藏铁路那曲物流中心，充分释放现有货场集散能力，补齐仓储冷链配套短板，提质升级打造全市物资集散、多式联运核心枢纽；</w:t>
      </w:r>
      <w:r>
        <w:rPr>
          <w:rFonts w:hint="eastAsia" w:ascii="Times New Roman" w:hAnsi="Times New Roman" w:eastAsia="方正仿宋简体" w:cs="方正仿宋简体"/>
          <w:b/>
          <w:sz w:val="32"/>
          <w:szCs w:val="28"/>
          <w:lang w:val="en-US" w:eastAsia="zh-CN"/>
        </w:rPr>
        <w:t>四是</w:t>
      </w:r>
      <w:r>
        <w:rPr>
          <w:rFonts w:hint="eastAsia" w:ascii="Times New Roman" w:hAnsi="Times New Roman" w:eastAsia="方正仿宋简体" w:cs="方正仿宋简体"/>
          <w:bCs/>
          <w:sz w:val="32"/>
          <w:szCs w:val="28"/>
          <w:lang w:val="en-US" w:eastAsia="zh-CN"/>
        </w:rPr>
        <w:t>生态文旅服务产业，紧邻纳</w:t>
      </w:r>
      <w:r>
        <w:rPr>
          <w:rFonts w:hint="eastAsia" w:ascii="Times New Roman" w:hAnsi="Times New Roman" w:eastAsia="方正仿宋简体" w:cs="方正仿宋简体"/>
          <w:bCs/>
          <w:sz w:val="32"/>
          <w:szCs w:val="28"/>
          <w:lang w:val="en-US"/>
        </w:rPr>
        <w:t>木错等核心景区，全域旅游配套、中转服务、住宿业态完善，是藏北旅游重要门户节点；</w:t>
      </w:r>
      <w:r>
        <w:rPr>
          <w:rFonts w:hint="eastAsia" w:ascii="Times New Roman" w:hAnsi="Times New Roman" w:eastAsia="方正仿宋简体" w:cs="方正仿宋简体"/>
          <w:b/>
          <w:bCs w:val="0"/>
          <w:sz w:val="32"/>
          <w:szCs w:val="28"/>
          <w:lang w:val="en-US"/>
        </w:rPr>
        <w:t>五是</w:t>
      </w:r>
      <w:r>
        <w:rPr>
          <w:rFonts w:hint="eastAsia" w:ascii="Times New Roman" w:hAnsi="Times New Roman" w:eastAsia="方正仿宋简体" w:cs="方正仿宋简体"/>
          <w:bCs/>
          <w:sz w:val="32"/>
          <w:szCs w:val="28"/>
          <w:lang w:val="en-US"/>
        </w:rPr>
        <w:t>现代藏医药产业，依托市级藏医院标准化制剂中心与药材质量检测平台，承接东部县域冬虫夏草、雪山贝母等优质道地药材集中分选、精深炮制、制剂量产与全域溯源管控，同步发展藏医药浴、高原康养理疗、藏药文创展销，打造全市藏医药加工集散、健康服务与品牌运营总部。</w:t>
      </w:r>
    </w:p>
    <w:bookmarkEnd w:id="153"/>
    <w:p w14:paraId="117BEBE4">
      <w:pPr>
        <w:pStyle w:val="29"/>
        <w:spacing w:line="576" w:lineRule="exact"/>
        <w:ind w:firstLine="640" w:firstLineChars="200"/>
        <w:jc w:val="both"/>
        <w:outlineLvl w:val="2"/>
        <w:rPr>
          <w:rFonts w:hint="eastAsia" w:ascii="Times New Roman" w:hAnsi="Times New Roman" w:eastAsia="方正仿宋简体" w:cs="方正仿宋简体"/>
          <w:bCs/>
          <w:sz w:val="32"/>
          <w:szCs w:val="28"/>
          <w:lang w:eastAsia="zh-CN"/>
        </w:rPr>
      </w:pPr>
      <w:bookmarkStart w:id="154" w:name="_Toc243241439"/>
      <w:r>
        <w:rPr>
          <w:rFonts w:hint="eastAsia" w:ascii="Times New Roman" w:hAnsi="Times New Roman" w:eastAsia="方正仿宋简体" w:cs="方正仿宋简体"/>
          <w:bCs/>
          <w:sz w:val="32"/>
          <w:szCs w:val="28"/>
          <w:lang w:eastAsia="zh-CN"/>
        </w:rPr>
        <w:t>2．东部多元产业带</w:t>
      </w:r>
      <w:bookmarkEnd w:id="154"/>
    </w:p>
    <w:p w14:paraId="5A153642">
      <w:pPr>
        <w:pStyle w:val="27"/>
        <w:overflowPunct w:val="0"/>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eastAsia="zh-CN"/>
        </w:rPr>
        <w:t>东部产业带覆盖聂荣县、索县、巴青县、比如县，联动东南部嘉黎县，重点发展特色种质资源型畜牧业、道地藏药材产业、人文生态文旅产业、林下经济等产业。</w:t>
      </w:r>
      <w:r>
        <w:rPr>
          <w:rFonts w:hint="eastAsia" w:ascii="Times New Roman" w:hAnsi="Times New Roman" w:eastAsia="方正仿宋简体" w:cs="方正仿宋简体"/>
          <w:bCs/>
          <w:sz w:val="32"/>
          <w:szCs w:val="28"/>
          <w:lang w:val="en-US" w:eastAsia="zh-CN"/>
        </w:rPr>
        <w:t>该区域河谷地貌显著、气候相对温润、水土资源优越、文化资源富集，呈现</w:t>
      </w:r>
      <w:r>
        <w:rPr>
          <w:rFonts w:hint="eastAsia" w:ascii="Times New Roman" w:hAnsi="Times New Roman" w:eastAsia="方正仿宋简体" w:cs="方正仿宋简体"/>
          <w:sz w:val="32"/>
          <w:szCs w:val="28"/>
          <w:lang w:val="en-US" w:eastAsia="zh-CN"/>
        </w:rPr>
        <w:t>农牧融合、文旅叠加、资源多元</w:t>
      </w:r>
      <w:r>
        <w:rPr>
          <w:rFonts w:hint="eastAsia" w:ascii="Times New Roman" w:hAnsi="Times New Roman" w:eastAsia="方正仿宋简体" w:cs="方正仿宋简体"/>
          <w:bCs/>
          <w:sz w:val="32"/>
          <w:szCs w:val="28"/>
          <w:lang w:val="en-US" w:eastAsia="zh-CN"/>
        </w:rPr>
        <w:t>的产业特征，是全市特色资源最丰富、产业类型最齐备的区域。</w:t>
      </w:r>
    </w:p>
    <w:p w14:paraId="7ACF7729">
      <w:pPr>
        <w:pStyle w:val="27"/>
        <w:overflowPunct w:val="0"/>
        <w:spacing w:line="576" w:lineRule="exact"/>
        <w:ind w:firstLine="640" w:firstLineChars="200"/>
        <w:jc w:val="both"/>
        <w:rPr>
          <w:rFonts w:hint="eastAsia" w:ascii="Times New Roman" w:hAnsi="Times New Roman" w:eastAsia="方正仿宋简体" w:cs="方正仿宋简体"/>
          <w:bCs/>
          <w:sz w:val="32"/>
          <w:szCs w:val="28"/>
          <w:lang w:val="en-US"/>
        </w:rPr>
      </w:pPr>
      <w:bookmarkStart w:id="155" w:name="OLE_LINK99"/>
      <w:r>
        <w:rPr>
          <w:rFonts w:hint="eastAsia" w:ascii="Times New Roman" w:hAnsi="Times New Roman" w:eastAsia="方正仿宋简体" w:cs="方正仿宋简体"/>
          <w:bCs/>
          <w:sz w:val="32"/>
          <w:szCs w:val="28"/>
          <w:lang w:val="en-US" w:eastAsia="zh-CN"/>
        </w:rPr>
        <w:t>重点布局五大特色业态：</w:t>
      </w:r>
      <w:r>
        <w:rPr>
          <w:rFonts w:hint="eastAsia" w:ascii="Times New Roman" w:hAnsi="Times New Roman" w:eastAsia="方正仿宋简体" w:cs="方正仿宋简体"/>
          <w:b/>
          <w:sz w:val="32"/>
          <w:szCs w:val="28"/>
          <w:lang w:val="en-US" w:eastAsia="zh-CN"/>
        </w:rPr>
        <w:t>一是</w:t>
      </w:r>
      <w:bookmarkStart w:id="156" w:name="OLE_LINK93"/>
      <w:r>
        <w:rPr>
          <w:rFonts w:hint="eastAsia" w:ascii="Times New Roman" w:hAnsi="Times New Roman" w:eastAsia="方正仿宋简体" w:cs="方正仿宋简体"/>
          <w:bCs/>
          <w:sz w:val="32"/>
          <w:szCs w:val="28"/>
          <w:lang w:eastAsia="zh-CN"/>
        </w:rPr>
        <w:t>特色种质资源型畜牧业</w:t>
      </w:r>
      <w:bookmarkEnd w:id="156"/>
      <w:r>
        <w:rPr>
          <w:rFonts w:hint="eastAsia" w:ascii="Times New Roman" w:hAnsi="Times New Roman" w:eastAsia="方正仿宋简体" w:cs="方正仿宋简体"/>
          <w:bCs/>
          <w:sz w:val="32"/>
          <w:szCs w:val="28"/>
          <w:lang w:val="en-US" w:eastAsia="zh-CN"/>
        </w:rPr>
        <w:t>，集聚亚贡牦牛、本塔牦牛、娘亚牦牛等优良本土畜种，是全市良种保育、规模化养殖核心区；</w:t>
      </w:r>
      <w:bookmarkStart w:id="157" w:name="OLE_LINK105"/>
      <w:r>
        <w:rPr>
          <w:rFonts w:hint="eastAsia" w:ascii="Times New Roman" w:hAnsi="Times New Roman" w:eastAsia="方正仿宋简体" w:cs="方正仿宋简体"/>
          <w:b/>
          <w:sz w:val="32"/>
          <w:szCs w:val="28"/>
          <w:lang w:val="en-US" w:eastAsia="zh-CN"/>
        </w:rPr>
        <w:t>二是</w:t>
      </w:r>
      <w:bookmarkStart w:id="158" w:name="OLE_LINK94"/>
      <w:r>
        <w:rPr>
          <w:rFonts w:hint="eastAsia" w:ascii="Times New Roman" w:hAnsi="Times New Roman" w:eastAsia="方正仿宋简体" w:cs="方正仿宋简体"/>
          <w:bCs/>
          <w:sz w:val="32"/>
          <w:szCs w:val="28"/>
          <w:lang w:val="en-US" w:eastAsia="zh-CN"/>
        </w:rPr>
        <w:t>道地藏药材产业</w:t>
      </w:r>
      <w:bookmarkEnd w:id="158"/>
      <w:r>
        <w:rPr>
          <w:rFonts w:hint="eastAsia" w:ascii="Times New Roman" w:hAnsi="Times New Roman" w:eastAsia="方正仿宋简体" w:cs="方正仿宋简体"/>
          <w:bCs/>
          <w:sz w:val="32"/>
          <w:szCs w:val="28"/>
          <w:lang w:val="en-US" w:eastAsia="zh-CN"/>
        </w:rPr>
        <w:t>，比如县、巴青县、索县、嘉黎县等东部县域为那曲冬虫夏草、雪山贝母等珍稀药材主产区（</w:t>
      </w:r>
      <w:r>
        <w:rPr>
          <w:rFonts w:hint="eastAsia" w:ascii="Times New Roman" w:hAnsi="Times New Roman" w:eastAsia="方正仿宋简体" w:cs="方正仿宋简体"/>
          <w:bCs/>
          <w:sz w:val="32"/>
          <w:szCs w:val="28"/>
          <w:lang w:eastAsia="zh-CN"/>
        </w:rPr>
        <w:t>色尼区依托那曲中心区位、产业配套与医疗资源优势，统筹全市藏药材收储分选、精深加工、质量溯源检验、制剂量产及藏医药康养服务布局，同步吸纳聂荣、安多、班戈、申扎、尼玛、双湖等县区红景天、雪莲花、藏木香、波棱瓜等高原常规药材规范化抚育采集，构建“县域源头保育采收、中心城区集中加工集散、全域资源统筹运营”的一体化道地藏药材产业发展格局。</w:t>
      </w:r>
      <w:r>
        <w:rPr>
          <w:rFonts w:hint="eastAsia" w:ascii="Times New Roman" w:hAnsi="Times New Roman" w:eastAsia="方正仿宋简体" w:cs="方正仿宋简体"/>
          <w:bCs/>
          <w:sz w:val="32"/>
          <w:szCs w:val="28"/>
          <w:lang w:val="en-US" w:eastAsia="zh-CN"/>
        </w:rPr>
        <w:t>）</w:t>
      </w:r>
      <w:bookmarkEnd w:id="157"/>
      <w:r>
        <w:rPr>
          <w:rFonts w:hint="eastAsia" w:ascii="Times New Roman" w:hAnsi="Times New Roman" w:eastAsia="方正仿宋简体" w:cs="方正仿宋简体"/>
          <w:bCs/>
          <w:sz w:val="32"/>
          <w:szCs w:val="28"/>
          <w:lang w:val="en-US" w:eastAsia="zh-CN"/>
        </w:rPr>
        <w:t>；</w:t>
      </w:r>
      <w:r>
        <w:rPr>
          <w:rFonts w:hint="eastAsia" w:ascii="Times New Roman" w:hAnsi="Times New Roman" w:eastAsia="方正仿宋简体" w:cs="方正仿宋简体"/>
          <w:b/>
          <w:sz w:val="32"/>
          <w:szCs w:val="28"/>
          <w:lang w:val="en-US" w:eastAsia="zh-CN"/>
        </w:rPr>
        <w:t>三是</w:t>
      </w:r>
      <w:bookmarkStart w:id="159" w:name="OLE_LINK96"/>
      <w:r>
        <w:rPr>
          <w:rFonts w:hint="eastAsia" w:ascii="Times New Roman" w:hAnsi="Times New Roman" w:eastAsia="方正仿宋简体" w:cs="方正仿宋简体"/>
          <w:bCs/>
          <w:sz w:val="32"/>
          <w:szCs w:val="28"/>
          <w:lang w:val="en-US" w:eastAsia="zh-CN"/>
        </w:rPr>
        <w:t>人</w:t>
      </w:r>
      <w:bookmarkStart w:id="160" w:name="OLE_LINK95"/>
      <w:r>
        <w:rPr>
          <w:rFonts w:hint="eastAsia" w:ascii="Times New Roman" w:hAnsi="Times New Roman" w:eastAsia="方正仿宋简体" w:cs="方正仿宋简体"/>
          <w:bCs/>
          <w:sz w:val="32"/>
          <w:szCs w:val="28"/>
          <w:lang w:val="en-US" w:eastAsia="zh-CN"/>
        </w:rPr>
        <w:t>文生态文旅产业</w:t>
      </w:r>
      <w:bookmarkEnd w:id="159"/>
      <w:bookmarkEnd w:id="160"/>
      <w:r>
        <w:rPr>
          <w:rFonts w:hint="eastAsia" w:ascii="Times New Roman" w:hAnsi="Times New Roman" w:eastAsia="方正仿宋简体" w:cs="方正仿宋简体"/>
          <w:bCs/>
          <w:sz w:val="32"/>
          <w:szCs w:val="28"/>
          <w:lang w:val="en-US" w:eastAsia="zh-CN"/>
        </w:rPr>
        <w:t>，集聚萨普雪山、怒江大峡谷、唐蕃古道、格萨尔文化、文成公主遗迹等顶级资源，生</w:t>
      </w:r>
      <w:r>
        <w:rPr>
          <w:rFonts w:hint="eastAsia" w:ascii="Times New Roman" w:hAnsi="Times New Roman" w:eastAsia="方正仿宋简体" w:cs="方正仿宋简体"/>
          <w:bCs/>
          <w:sz w:val="32"/>
          <w:szCs w:val="28"/>
          <w:lang w:val="en-US"/>
        </w:rPr>
        <w:t>态研学、古道康养、民俗体验业态优势突出；</w:t>
      </w:r>
      <w:r>
        <w:rPr>
          <w:rFonts w:hint="eastAsia" w:ascii="Times New Roman" w:hAnsi="Times New Roman" w:eastAsia="方正仿宋简体" w:cs="方正仿宋简体"/>
          <w:b/>
          <w:sz w:val="32"/>
          <w:szCs w:val="28"/>
          <w:lang w:val="en-US"/>
        </w:rPr>
        <w:t>四是</w:t>
      </w:r>
      <w:r>
        <w:rPr>
          <w:rFonts w:hint="eastAsia" w:ascii="Times New Roman" w:hAnsi="Times New Roman" w:eastAsia="方正仿宋简体" w:cs="方正仿宋简体"/>
          <w:bCs/>
          <w:sz w:val="32"/>
          <w:szCs w:val="28"/>
          <w:lang w:val="en-US"/>
        </w:rPr>
        <w:t>清洁能源产业，纳入全市“三线一片一区”能源总体布局，风光水多能互补开发潜力巨大；</w:t>
      </w:r>
      <w:bookmarkStart w:id="161" w:name="OLE_LINK100"/>
      <w:r>
        <w:rPr>
          <w:rFonts w:hint="eastAsia" w:ascii="Times New Roman" w:hAnsi="Times New Roman" w:eastAsia="方正仿宋简体" w:cs="方正仿宋简体"/>
          <w:b/>
          <w:bCs w:val="0"/>
          <w:sz w:val="32"/>
          <w:szCs w:val="28"/>
          <w:lang w:eastAsia="zh-CN"/>
        </w:rPr>
        <w:t>五是</w:t>
      </w:r>
      <w:r>
        <w:rPr>
          <w:rFonts w:hint="eastAsia" w:ascii="Times New Roman" w:hAnsi="Times New Roman" w:eastAsia="方正仿宋简体" w:cs="方正仿宋简体"/>
          <w:bCs/>
          <w:sz w:val="32"/>
          <w:szCs w:val="28"/>
          <w:lang w:eastAsia="zh-CN"/>
        </w:rPr>
        <w:t>高原林下经济产业，以嘉黎、索县、巴青、比如县东部河谷区域为重点，富集野生菌类、蕨麻、野木耳、林下黄精等高海拔山珍资源，有序发展林下采集、初级加工、特色山货产销，生态富民转化空间广阔。</w:t>
      </w:r>
    </w:p>
    <w:bookmarkEnd w:id="155"/>
    <w:bookmarkEnd w:id="161"/>
    <w:p w14:paraId="041B6366">
      <w:pPr>
        <w:pStyle w:val="29"/>
        <w:spacing w:line="576" w:lineRule="exact"/>
        <w:ind w:firstLine="640" w:firstLineChars="200"/>
        <w:jc w:val="both"/>
        <w:outlineLvl w:val="2"/>
        <w:rPr>
          <w:rFonts w:ascii="Times New Roman" w:hAnsi="Times New Roman" w:eastAsia="方正仿宋简体" w:cs="方正仿宋简体"/>
          <w:bCs/>
          <w:sz w:val="32"/>
          <w:szCs w:val="28"/>
          <w:lang w:eastAsia="zh-CN"/>
        </w:rPr>
      </w:pPr>
      <w:bookmarkStart w:id="162" w:name="_Toc243241440"/>
      <w:r>
        <w:rPr>
          <w:rFonts w:ascii="Times New Roman" w:hAnsi="Times New Roman" w:eastAsia="方正仿宋简体" w:cs="方正仿宋简体"/>
          <w:bCs/>
          <w:sz w:val="32"/>
          <w:szCs w:val="28"/>
          <w:lang w:eastAsia="zh-CN"/>
        </w:rPr>
        <w:t>3</w:t>
      </w:r>
      <w:r>
        <w:rPr>
          <w:rFonts w:hint="eastAsia" w:ascii="Times New Roman" w:hAnsi="Times New Roman" w:eastAsia="方正仿宋简体" w:cs="方正仿宋简体"/>
          <w:bCs/>
          <w:sz w:val="32"/>
          <w:szCs w:val="28"/>
          <w:lang w:eastAsia="zh-CN"/>
        </w:rPr>
        <w:t>．</w:t>
      </w:r>
      <w:r>
        <w:rPr>
          <w:rFonts w:ascii="Times New Roman" w:hAnsi="Times New Roman" w:eastAsia="方正仿宋简体" w:cs="方正仿宋简体"/>
          <w:bCs/>
          <w:sz w:val="32"/>
          <w:szCs w:val="28"/>
          <w:lang w:eastAsia="zh-CN"/>
        </w:rPr>
        <w:t>西部</w:t>
      </w:r>
      <w:r>
        <w:rPr>
          <w:rFonts w:hint="eastAsia" w:ascii="Times New Roman" w:hAnsi="Times New Roman" w:eastAsia="方正仿宋简体" w:cs="方正仿宋简体"/>
          <w:bCs/>
          <w:sz w:val="32"/>
          <w:szCs w:val="28"/>
          <w:lang w:eastAsia="zh-CN"/>
        </w:rPr>
        <w:t>高原特色</w:t>
      </w:r>
      <w:r>
        <w:rPr>
          <w:rFonts w:ascii="Times New Roman" w:hAnsi="Times New Roman" w:eastAsia="方正仿宋简体" w:cs="方正仿宋简体"/>
          <w:bCs/>
          <w:sz w:val="32"/>
          <w:szCs w:val="28"/>
          <w:lang w:eastAsia="zh-CN"/>
        </w:rPr>
        <w:t>畜牧带</w:t>
      </w:r>
      <w:bookmarkEnd w:id="162"/>
    </w:p>
    <w:p w14:paraId="29C0EB24">
      <w:pPr>
        <w:pStyle w:val="29"/>
        <w:spacing w:line="576" w:lineRule="exact"/>
        <w:ind w:firstLine="640" w:firstLineChars="200"/>
        <w:jc w:val="both"/>
        <w:rPr>
          <w:rFonts w:ascii="Times New Roman" w:hAnsi="Times New Roman" w:eastAsia="方正仿宋简体" w:cs="方正仿宋简体"/>
          <w:bCs/>
          <w:sz w:val="32"/>
          <w:szCs w:val="28"/>
          <w:lang w:val="en-US"/>
        </w:rPr>
      </w:pPr>
      <w:bookmarkStart w:id="163" w:name="OLE_LINK27"/>
      <w:r>
        <w:rPr>
          <w:rFonts w:ascii="Times New Roman" w:hAnsi="Times New Roman" w:eastAsia="方正仿宋简体" w:cs="方正仿宋简体"/>
          <w:bCs/>
          <w:sz w:val="32"/>
          <w:szCs w:val="28"/>
          <w:lang w:val="en-US"/>
        </w:rPr>
        <w:t>西部产业带以班戈县、申扎县、尼玛县、双湖县为主体，联动北部安多县协同发展，重点培育生态畜牧、清洁能源、特色资源精深加工三大主导产业。该区域地处羌塘高原核心腹地，地域广袤、人口分布稀疏，生态战略地位</w:t>
      </w:r>
      <w:r>
        <w:rPr>
          <w:rFonts w:hint="eastAsia" w:ascii="Times New Roman" w:hAnsi="Times New Roman" w:eastAsia="方正仿宋简体" w:cs="方正仿宋简体"/>
          <w:bCs/>
          <w:sz w:val="32"/>
          <w:szCs w:val="28"/>
          <w:lang w:val="en-US"/>
        </w:rPr>
        <w:t>极其</w:t>
      </w:r>
      <w:r>
        <w:rPr>
          <w:rFonts w:ascii="Times New Roman" w:hAnsi="Times New Roman" w:eastAsia="方正仿宋简体" w:cs="方正仿宋简体"/>
          <w:bCs/>
          <w:sz w:val="32"/>
          <w:szCs w:val="28"/>
          <w:lang w:val="en-US"/>
        </w:rPr>
        <w:t>重要、生态保护责任重大。区域产业特色鲜明、业态相对集中，以高原生态畜牧业为核心支撑，始终坚守生态优先、适度开发、集约高效的发展导向。</w:t>
      </w:r>
    </w:p>
    <w:p w14:paraId="6909888F">
      <w:pPr>
        <w:pStyle w:val="29"/>
        <w:spacing w:line="576" w:lineRule="exact"/>
        <w:ind w:firstLine="640" w:firstLineChars="200"/>
        <w:jc w:val="both"/>
        <w:rPr>
          <w:rFonts w:ascii="Times New Roman" w:hAnsi="Times New Roman" w:eastAsia="方正仿宋简体" w:cs="方正仿宋简体"/>
          <w:bCs/>
          <w:sz w:val="32"/>
          <w:szCs w:val="28"/>
          <w:lang w:val="en-US"/>
        </w:rPr>
      </w:pPr>
      <w:r>
        <w:rPr>
          <w:rFonts w:ascii="Times New Roman" w:hAnsi="Times New Roman" w:eastAsia="方正仿宋简体" w:cs="方正仿宋简体"/>
          <w:bCs/>
          <w:sz w:val="32"/>
          <w:szCs w:val="28"/>
          <w:lang w:val="en-US"/>
        </w:rPr>
        <w:t>重点布局三大优势业态：</w:t>
      </w:r>
      <w:r>
        <w:rPr>
          <w:rFonts w:ascii="Times New Roman" w:hAnsi="Times New Roman" w:eastAsia="方正仿宋简体" w:cs="方正仿宋简体"/>
          <w:b/>
          <w:bCs w:val="0"/>
          <w:sz w:val="32"/>
          <w:szCs w:val="28"/>
          <w:lang w:val="en-US"/>
        </w:rPr>
        <w:t>一是</w:t>
      </w:r>
      <w:r>
        <w:rPr>
          <w:rFonts w:ascii="Times New Roman" w:hAnsi="Times New Roman" w:eastAsia="方正仿宋简体" w:cs="方正仿宋简体"/>
          <w:bCs/>
          <w:sz w:val="32"/>
          <w:szCs w:val="28"/>
          <w:lang w:val="en-US"/>
        </w:rPr>
        <w:t>高端生态畜牧产业，坐拥多玛绵羊、色瓦绵羊等国家地理标志特色畜种，原生态养殖禀赋突出，是全市高品质生态畜产品核心供给基地；</w:t>
      </w:r>
      <w:r>
        <w:rPr>
          <w:rFonts w:ascii="Times New Roman" w:hAnsi="Times New Roman" w:eastAsia="方正仿宋简体" w:cs="方正仿宋简体"/>
          <w:b/>
          <w:bCs w:val="0"/>
          <w:sz w:val="32"/>
          <w:szCs w:val="28"/>
          <w:lang w:val="en-US"/>
        </w:rPr>
        <w:t>二是</w:t>
      </w:r>
      <w:r>
        <w:rPr>
          <w:rFonts w:ascii="Times New Roman" w:hAnsi="Times New Roman" w:eastAsia="方正仿宋简体" w:cs="方正仿宋简体"/>
          <w:bCs/>
          <w:sz w:val="32"/>
          <w:szCs w:val="28"/>
          <w:lang w:val="en-US"/>
        </w:rPr>
        <w:t>清洁能源产业，尼玛县、双湖县、班戈县全域风光资源富集、开发条件优越，是全市远期规模化绿电开发的核心储备区域；</w:t>
      </w:r>
      <w:r>
        <w:rPr>
          <w:rFonts w:ascii="Times New Roman" w:hAnsi="Times New Roman" w:eastAsia="方正仿宋简体" w:cs="方正仿宋简体"/>
          <w:b/>
          <w:bCs w:val="0"/>
          <w:sz w:val="32"/>
          <w:szCs w:val="28"/>
          <w:lang w:val="en-US"/>
        </w:rPr>
        <w:t>三是</w:t>
      </w:r>
      <w:r>
        <w:rPr>
          <w:rFonts w:ascii="Times New Roman" w:hAnsi="Times New Roman" w:eastAsia="方正仿宋简体" w:cs="方正仿宋简体"/>
          <w:bCs/>
          <w:sz w:val="32"/>
          <w:szCs w:val="28"/>
          <w:lang w:val="en-US"/>
        </w:rPr>
        <w:t>特色资源精深加工产业，立足区域独有卤虫</w:t>
      </w:r>
      <w:r>
        <w:rPr>
          <w:rFonts w:hint="eastAsia" w:ascii="Times New Roman" w:hAnsi="Times New Roman" w:eastAsia="方正仿宋简体" w:cs="方正仿宋简体"/>
          <w:bCs/>
          <w:sz w:val="32"/>
          <w:szCs w:val="28"/>
          <w:lang w:val="en-US"/>
        </w:rPr>
        <w:t>卵</w:t>
      </w:r>
      <w:r>
        <w:rPr>
          <w:rFonts w:ascii="Times New Roman" w:hAnsi="Times New Roman" w:eastAsia="方正仿宋简体" w:cs="方正仿宋简体"/>
          <w:bCs/>
          <w:sz w:val="32"/>
          <w:szCs w:val="28"/>
          <w:lang w:val="en-US"/>
        </w:rPr>
        <w:t>、羊皮等稀缺特色资源，深耕小众精品、高附加值加工赛道，推动特色资源就地精深转化、产业链价值提档升级。</w:t>
      </w:r>
    </w:p>
    <w:p w14:paraId="2DC8D6E7">
      <w:pPr>
        <w:pStyle w:val="29"/>
        <w:spacing w:line="576" w:lineRule="exact"/>
        <w:ind w:firstLine="640" w:firstLineChars="200"/>
        <w:jc w:val="both"/>
        <w:outlineLvl w:val="2"/>
        <w:rPr>
          <w:rFonts w:ascii="Times New Roman" w:hAnsi="Times New Roman" w:eastAsia="方正仿宋简体" w:cs="方正仿宋简体"/>
          <w:bCs/>
          <w:sz w:val="32"/>
          <w:szCs w:val="28"/>
          <w:lang w:eastAsia="zh-CN"/>
        </w:rPr>
      </w:pPr>
      <w:bookmarkStart w:id="164" w:name="_Toc243241441"/>
      <w:r>
        <w:rPr>
          <w:rFonts w:ascii="Times New Roman" w:hAnsi="Times New Roman" w:eastAsia="方正仿宋简体" w:cs="方正仿宋简体"/>
          <w:bCs/>
          <w:sz w:val="32"/>
          <w:szCs w:val="28"/>
          <w:lang w:eastAsia="zh-CN"/>
        </w:rPr>
        <w:t>4</w:t>
      </w:r>
      <w:r>
        <w:rPr>
          <w:rFonts w:hint="eastAsia" w:ascii="Times New Roman" w:hAnsi="Times New Roman" w:eastAsia="方正仿宋简体" w:cs="方正仿宋简体"/>
          <w:bCs/>
          <w:sz w:val="32"/>
          <w:szCs w:val="28"/>
          <w:lang w:eastAsia="zh-CN"/>
        </w:rPr>
        <w:t>．</w:t>
      </w:r>
      <w:r>
        <w:rPr>
          <w:rFonts w:ascii="Times New Roman" w:hAnsi="Times New Roman" w:eastAsia="方正仿宋简体" w:cs="方正仿宋简体"/>
          <w:bCs/>
          <w:sz w:val="32"/>
          <w:szCs w:val="28"/>
          <w:lang w:eastAsia="zh-CN"/>
        </w:rPr>
        <w:t>全链条升级布局</w:t>
      </w:r>
      <w:bookmarkEnd w:id="164"/>
    </w:p>
    <w:bookmarkEnd w:id="163"/>
    <w:p w14:paraId="0CE9268D">
      <w:pPr>
        <w:pStyle w:val="27"/>
        <w:overflowPunct w:val="0"/>
        <w:spacing w:line="576" w:lineRule="exact"/>
        <w:ind w:firstLine="640" w:firstLineChars="200"/>
        <w:jc w:val="both"/>
        <w:rPr>
          <w:rFonts w:ascii="Times New Roman" w:hAnsi="Times New Roman" w:eastAsia="方正仿宋简体" w:cs="方正仿宋简体"/>
          <w:bCs/>
          <w:sz w:val="32"/>
          <w:szCs w:val="28"/>
          <w:lang w:val="en-US"/>
        </w:rPr>
      </w:pPr>
      <w:r>
        <w:rPr>
          <w:rFonts w:ascii="Times New Roman" w:hAnsi="Times New Roman" w:eastAsia="方正仿宋简体" w:cs="方正仿宋简体"/>
          <w:bCs/>
          <w:sz w:val="32"/>
          <w:szCs w:val="28"/>
          <w:lang w:val="en-US"/>
        </w:rPr>
        <w:t>立足三大产业资源基础，推动全市特色产业由单一养殖、初级产出向全链条、高附加值转型升级，构建</w:t>
      </w:r>
      <w:r>
        <w:rPr>
          <w:rFonts w:hint="eastAsia" w:ascii="方正仿宋简体" w:hAnsi="方正仿宋简体" w:eastAsia="方正仿宋简体" w:cs="方正仿宋简体"/>
          <w:bCs/>
          <w:sz w:val="32"/>
          <w:szCs w:val="28"/>
          <w:lang w:val="en-US"/>
        </w:rPr>
        <w:t>“生产、加工、服务、销售”</w:t>
      </w:r>
      <w:r>
        <w:rPr>
          <w:rFonts w:ascii="Times New Roman" w:hAnsi="Times New Roman" w:eastAsia="方正仿宋简体" w:cs="方正仿宋简体"/>
          <w:bCs/>
          <w:sz w:val="32"/>
          <w:szCs w:val="28"/>
          <w:lang w:val="en-US"/>
        </w:rPr>
        <w:t>四位一体完整价值链体系。</w:t>
      </w:r>
    </w:p>
    <w:p w14:paraId="67789F66">
      <w:pPr>
        <w:pStyle w:val="27"/>
        <w:overflowPunct w:val="0"/>
        <w:spacing w:line="576" w:lineRule="exact"/>
        <w:ind w:firstLine="640" w:firstLineChars="200"/>
        <w:jc w:val="both"/>
        <w:rPr>
          <w:rFonts w:ascii="Times New Roman" w:hAnsi="Times New Roman" w:eastAsia="方正仿宋简体" w:cs="方正仿宋简体"/>
          <w:bCs/>
          <w:sz w:val="32"/>
          <w:szCs w:val="28"/>
          <w:lang w:val="en-US"/>
        </w:rPr>
      </w:pPr>
      <w:r>
        <w:rPr>
          <w:rFonts w:ascii="Times New Roman" w:hAnsi="Times New Roman" w:eastAsia="方正仿宋简体" w:cs="方正仿宋简体"/>
          <w:bCs/>
          <w:sz w:val="32"/>
          <w:szCs w:val="28"/>
          <w:lang w:val="en-US"/>
        </w:rPr>
        <w:t>生产端筑牢基底：布局标准化智慧牧场、良种繁育基地、生态饲草基地，夯实全市高原特色农牧产品供给核心地位。</w:t>
      </w:r>
    </w:p>
    <w:p w14:paraId="19880464">
      <w:pPr>
        <w:pStyle w:val="27"/>
        <w:overflowPunct w:val="0"/>
        <w:spacing w:line="576" w:lineRule="exact"/>
        <w:ind w:firstLine="640" w:firstLineChars="200"/>
        <w:jc w:val="both"/>
        <w:rPr>
          <w:rFonts w:ascii="Times New Roman" w:hAnsi="Times New Roman" w:eastAsia="方正仿宋简体" w:cs="方正仿宋简体"/>
          <w:bCs/>
          <w:sz w:val="32"/>
          <w:szCs w:val="28"/>
          <w:lang w:val="en-US"/>
        </w:rPr>
      </w:pPr>
      <w:r>
        <w:rPr>
          <w:rFonts w:ascii="Times New Roman" w:hAnsi="Times New Roman" w:eastAsia="方正仿宋简体" w:cs="方正仿宋简体"/>
          <w:bCs/>
          <w:sz w:val="32"/>
          <w:szCs w:val="28"/>
          <w:lang w:val="en-US"/>
        </w:rPr>
        <w:t>加工端提升价值：依托市级高新区、产业园区载体，集中布局牦牛肉奶、藏药材、特色农林产品精深加工，补齐产业链短板、提升产品附加值。</w:t>
      </w:r>
    </w:p>
    <w:p w14:paraId="121D3F3B">
      <w:pPr>
        <w:pStyle w:val="27"/>
        <w:overflowPunct w:val="0"/>
        <w:spacing w:line="576" w:lineRule="exact"/>
        <w:ind w:firstLine="640" w:firstLineChars="200"/>
        <w:jc w:val="both"/>
        <w:rPr>
          <w:rFonts w:ascii="Times New Roman" w:hAnsi="Times New Roman" w:eastAsia="方正仿宋简体" w:cs="方正仿宋简体"/>
          <w:bCs/>
          <w:sz w:val="32"/>
          <w:szCs w:val="28"/>
          <w:lang w:val="en-US"/>
        </w:rPr>
      </w:pPr>
      <w:r>
        <w:rPr>
          <w:rFonts w:ascii="Times New Roman" w:hAnsi="Times New Roman" w:eastAsia="方正仿宋简体" w:cs="方正仿宋简体"/>
          <w:bCs/>
          <w:sz w:val="32"/>
          <w:szCs w:val="28"/>
          <w:lang w:val="en-US"/>
        </w:rPr>
        <w:t>服务端补齐配套：完善冷链仓储、多式联运、电商服务、金融赋能等配套体系，打通产品出山、外销流通全链条。</w:t>
      </w:r>
    </w:p>
    <w:p w14:paraId="070F782E">
      <w:pPr>
        <w:pStyle w:val="27"/>
        <w:overflowPunct w:val="0"/>
        <w:spacing w:line="576" w:lineRule="exact"/>
        <w:ind w:firstLine="640" w:firstLineChars="200"/>
        <w:jc w:val="both"/>
        <w:rPr>
          <w:rFonts w:ascii="Times New Roman" w:hAnsi="Times New Roman" w:eastAsia="方正仿宋简体" w:cs="方正仿宋简体"/>
          <w:bCs/>
          <w:sz w:val="32"/>
          <w:szCs w:val="28"/>
          <w:lang w:val="en-US"/>
        </w:rPr>
      </w:pPr>
      <w:r>
        <w:rPr>
          <w:rFonts w:ascii="Times New Roman" w:hAnsi="Times New Roman" w:eastAsia="方正仿宋简体" w:cs="方正仿宋简体"/>
          <w:bCs/>
          <w:sz w:val="32"/>
          <w:szCs w:val="28"/>
          <w:lang w:val="en-US"/>
        </w:rPr>
        <w:t>销售端塑造品牌：推行</w:t>
      </w:r>
      <w:r>
        <w:rPr>
          <w:rFonts w:hint="eastAsia" w:ascii="方正仿宋简体" w:hAnsi="方正仿宋简体" w:eastAsia="方正仿宋简体" w:cs="方正仿宋简体"/>
          <w:bCs/>
          <w:sz w:val="32"/>
          <w:szCs w:val="28"/>
          <w:lang w:val="en-US"/>
        </w:rPr>
        <w:t>“线上直播+线下展销+定点直销”</w:t>
      </w:r>
      <w:r>
        <w:rPr>
          <w:rFonts w:ascii="Times New Roman" w:hAnsi="Times New Roman" w:eastAsia="方正仿宋简体" w:cs="方正仿宋简体"/>
          <w:bCs/>
          <w:sz w:val="32"/>
          <w:szCs w:val="28"/>
          <w:lang w:val="en-US"/>
        </w:rPr>
        <w:t>多元模式，做强</w:t>
      </w:r>
      <w:r>
        <w:rPr>
          <w:rFonts w:hint="eastAsia" w:ascii="方正仿宋简体" w:hAnsi="方正仿宋简体" w:eastAsia="方正仿宋简体" w:cs="方正仿宋简体"/>
          <w:bCs/>
          <w:sz w:val="32"/>
          <w:szCs w:val="28"/>
          <w:lang w:val="en-US"/>
        </w:rPr>
        <w:t>“极地那曲”区域公共品牌</w:t>
      </w:r>
      <w:r>
        <w:rPr>
          <w:rFonts w:ascii="Times New Roman" w:hAnsi="Times New Roman" w:eastAsia="方正仿宋简体" w:cs="方正仿宋简体"/>
          <w:bCs/>
          <w:sz w:val="32"/>
          <w:szCs w:val="28"/>
          <w:lang w:val="en-US"/>
        </w:rPr>
        <w:t>，构建全域统一品牌体系。</w:t>
      </w:r>
    </w:p>
    <w:p w14:paraId="77822398">
      <w:pPr>
        <w:pStyle w:val="29"/>
        <w:spacing w:line="576" w:lineRule="exact"/>
        <w:ind w:firstLine="640" w:firstLineChars="200"/>
        <w:jc w:val="both"/>
        <w:outlineLvl w:val="2"/>
        <w:rPr>
          <w:rFonts w:ascii="Times New Roman" w:hAnsi="Times New Roman" w:eastAsia="方正仿宋简体" w:cs="方正仿宋简体"/>
          <w:bCs/>
          <w:sz w:val="32"/>
          <w:szCs w:val="28"/>
          <w:lang w:eastAsia="zh-CN"/>
        </w:rPr>
      </w:pPr>
      <w:bookmarkStart w:id="165" w:name="_Toc243241442"/>
      <w:r>
        <w:rPr>
          <w:rFonts w:ascii="Times New Roman" w:hAnsi="Times New Roman" w:eastAsia="方正仿宋简体" w:cs="方正仿宋简体"/>
          <w:bCs/>
          <w:sz w:val="32"/>
          <w:szCs w:val="28"/>
          <w:lang w:eastAsia="zh-CN"/>
        </w:rPr>
        <w:t>5</w:t>
      </w:r>
      <w:r>
        <w:rPr>
          <w:rFonts w:hint="eastAsia" w:ascii="Times New Roman" w:hAnsi="Times New Roman" w:eastAsia="方正仿宋简体" w:cs="方正仿宋简体"/>
          <w:bCs/>
          <w:sz w:val="32"/>
          <w:szCs w:val="28"/>
          <w:lang w:eastAsia="zh-CN"/>
        </w:rPr>
        <w:t>．</w:t>
      </w:r>
      <w:r>
        <w:rPr>
          <w:rFonts w:ascii="Times New Roman" w:hAnsi="Times New Roman" w:eastAsia="方正仿宋简体" w:cs="方正仿宋简体"/>
          <w:bCs/>
          <w:sz w:val="32"/>
          <w:szCs w:val="28"/>
          <w:lang w:eastAsia="zh-CN"/>
        </w:rPr>
        <w:t>交通廊道经济支撑</w:t>
      </w:r>
      <w:bookmarkEnd w:id="165"/>
    </w:p>
    <w:p w14:paraId="569C88D6">
      <w:pPr>
        <w:pStyle w:val="27"/>
        <w:overflowPunct w:val="0"/>
        <w:spacing w:line="576" w:lineRule="exact"/>
        <w:ind w:firstLine="640" w:firstLineChars="200"/>
        <w:jc w:val="both"/>
        <w:rPr>
          <w:rFonts w:ascii="Times New Roman" w:hAnsi="Times New Roman" w:eastAsia="方正仿宋简体" w:cs="方正仿宋简体"/>
          <w:bCs/>
          <w:sz w:val="32"/>
          <w:szCs w:val="28"/>
          <w:lang w:val="en-US"/>
        </w:rPr>
      </w:pPr>
      <w:r>
        <w:rPr>
          <w:rFonts w:hint="eastAsia" w:ascii="Times New Roman" w:hAnsi="Times New Roman" w:eastAsia="方正仿宋简体" w:cs="方正仿宋简体"/>
          <w:bCs/>
          <w:sz w:val="32"/>
          <w:szCs w:val="28"/>
          <w:lang w:val="en-US"/>
        </w:rPr>
        <w:t>依托全市“</w:t>
      </w:r>
      <w:r>
        <w:rPr>
          <w:rFonts w:hint="eastAsia" w:ascii="Times New Roman" w:hAnsi="Times New Roman" w:eastAsia="方正仿宋简体" w:cs="方正仿宋简体"/>
          <w:bCs/>
          <w:sz w:val="32"/>
          <w:szCs w:val="28"/>
          <w:lang w:val="en-US" w:eastAsia="zh-CN"/>
        </w:rPr>
        <w:t>五纵六横”主干交通路网及青藏铁路大动脉，形成“沿路兴产、以点串线、以线带面”的廊道经济格局。坚持点轴开发、廊道赋能，串联重点城镇、产业园区、景区节点、资源基地，打造全域产业经济大通道。依托</w:t>
      </w:r>
      <w:bookmarkStart w:id="166" w:name="OLE_LINK108"/>
      <w:r>
        <w:rPr>
          <w:rFonts w:hint="eastAsia" w:ascii="Times New Roman" w:hAnsi="Times New Roman" w:eastAsia="方正仿宋简体" w:cs="方正仿宋简体"/>
          <w:bCs/>
          <w:sz w:val="32"/>
          <w:szCs w:val="28"/>
          <w:lang w:val="en-US" w:eastAsia="zh-CN"/>
        </w:rPr>
        <w:t>青藏铁路那曲物流中心</w:t>
      </w:r>
      <w:bookmarkEnd w:id="166"/>
      <w:r>
        <w:rPr>
          <w:rFonts w:hint="eastAsia" w:ascii="Times New Roman" w:hAnsi="Times New Roman" w:eastAsia="方正仿宋简体" w:cs="方正仿宋简体"/>
          <w:bCs/>
          <w:sz w:val="32"/>
          <w:szCs w:val="28"/>
          <w:lang w:val="en-US" w:eastAsia="zh-CN"/>
        </w:rPr>
        <w:t>枢纽优势，强化绿电、畜产品、资源规模化外送能力，实现交通通道、产业通道、</w:t>
      </w:r>
      <w:r>
        <w:rPr>
          <w:rFonts w:hint="eastAsia" w:ascii="Times New Roman" w:hAnsi="Times New Roman" w:eastAsia="方正仿宋简体" w:cs="方正仿宋简体"/>
          <w:bCs/>
          <w:sz w:val="32"/>
          <w:szCs w:val="28"/>
          <w:lang w:val="en-US"/>
        </w:rPr>
        <w:t>经济通道三位一体融合发展。</w:t>
      </w:r>
    </w:p>
    <w:p w14:paraId="4E3A5514">
      <w:pPr>
        <w:pStyle w:val="29"/>
        <w:spacing w:line="576" w:lineRule="exact"/>
        <w:ind w:firstLine="640" w:firstLineChars="200"/>
        <w:jc w:val="both"/>
        <w:outlineLvl w:val="2"/>
        <w:rPr>
          <w:rFonts w:ascii="Times New Roman" w:hAnsi="Times New Roman" w:eastAsia="方正仿宋简体" w:cs="方正仿宋简体"/>
          <w:bCs/>
          <w:sz w:val="32"/>
          <w:szCs w:val="28"/>
          <w:lang w:eastAsia="zh-CN"/>
        </w:rPr>
      </w:pPr>
      <w:bookmarkStart w:id="167" w:name="_Toc243241443"/>
      <w:r>
        <w:rPr>
          <w:rFonts w:hint="eastAsia" w:ascii="Times New Roman" w:hAnsi="Times New Roman" w:eastAsia="方正仿宋简体" w:cs="方正仿宋简体"/>
          <w:bCs/>
          <w:sz w:val="32"/>
          <w:szCs w:val="28"/>
          <w:lang w:eastAsia="zh-CN"/>
        </w:rPr>
        <w:t>6．重点增长极培育</w:t>
      </w:r>
      <w:bookmarkEnd w:id="167"/>
    </w:p>
    <w:p w14:paraId="2EDECA37">
      <w:pPr>
        <w:pStyle w:val="27"/>
        <w:overflowPunct w:val="0"/>
        <w:spacing w:line="576" w:lineRule="exact"/>
        <w:ind w:firstLine="640" w:firstLineChars="200"/>
        <w:jc w:val="both"/>
        <w:rPr>
          <w:rFonts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rPr>
        <w:t>以重点园区、核心景区、示范基地、飞地园区为关键增长极，通过单点突破、示范带动，推动全域产业整体跃升。产业园区层面，做强</w:t>
      </w:r>
      <w:bookmarkStart w:id="168" w:name="OLE_LINK110"/>
      <w:r>
        <w:rPr>
          <w:rFonts w:ascii="Times New Roman" w:hAnsi="Times New Roman" w:eastAsia="方正仿宋简体" w:cs="方正仿宋简体"/>
          <w:bCs/>
          <w:sz w:val="32"/>
          <w:szCs w:val="28"/>
          <w:lang w:eastAsia="zh-CN"/>
        </w:rPr>
        <w:t>那曲高新技术产业开发区（色尼片区）</w:t>
      </w:r>
      <w:r>
        <w:rPr>
          <w:rFonts w:hint="eastAsia" w:ascii="Times New Roman" w:hAnsi="Times New Roman" w:eastAsia="方正仿宋简体" w:cs="方正仿宋简体"/>
          <w:bCs/>
          <w:sz w:val="32"/>
          <w:szCs w:val="28"/>
          <w:lang w:val="en-US" w:eastAsia="zh-CN"/>
        </w:rPr>
        <w:t>、</w:t>
      </w:r>
      <w:r>
        <w:rPr>
          <w:rFonts w:ascii="Times New Roman" w:hAnsi="Times New Roman" w:eastAsia="方正仿宋简体" w:cs="方正仿宋简体"/>
          <w:bCs/>
          <w:sz w:val="32"/>
          <w:szCs w:val="28"/>
          <w:lang w:eastAsia="zh-CN"/>
        </w:rPr>
        <w:t>安多县土硕清洁能源产业园</w:t>
      </w:r>
      <w:bookmarkEnd w:id="168"/>
      <w:r>
        <w:rPr>
          <w:rFonts w:hint="eastAsia" w:ascii="Times New Roman" w:hAnsi="Times New Roman" w:eastAsia="方正仿宋简体" w:cs="方正仿宋简体"/>
          <w:bCs/>
          <w:sz w:val="32"/>
          <w:szCs w:val="28"/>
          <w:lang w:val="en-US" w:eastAsia="zh-CN"/>
        </w:rPr>
        <w:t>；文旅地标层面，打造萨普雪山、</w:t>
      </w:r>
      <w:bookmarkStart w:id="169" w:name="OLE_LINK111"/>
      <w:r>
        <w:rPr>
          <w:rFonts w:hint="eastAsia" w:ascii="Times New Roman" w:hAnsi="Times New Roman" w:eastAsia="方正仿宋简体" w:cs="方正仿宋简体"/>
          <w:bCs/>
          <w:sz w:val="32"/>
          <w:szCs w:val="28"/>
          <w:lang w:val="en-US" w:eastAsia="zh-CN"/>
        </w:rPr>
        <w:t>当惹雍错</w:t>
      </w:r>
      <w:bookmarkEnd w:id="169"/>
      <w:r>
        <w:rPr>
          <w:rFonts w:hint="eastAsia" w:ascii="Times New Roman" w:hAnsi="Times New Roman" w:eastAsia="方正仿宋简体" w:cs="方正仿宋简体"/>
          <w:bCs/>
          <w:sz w:val="32"/>
          <w:szCs w:val="28"/>
          <w:lang w:val="en-US" w:eastAsia="zh-CN"/>
        </w:rPr>
        <w:t>、纳木错、色林错等世界级文旅IP；示范试点层面，推进聂荣零碳美丽乡村等特色试点建设；创新平台层面，依托拉萨飞地园区破解高原发展空间、要素、区位瓶颈，构建内外联动、互补协同的产业发展新格局。</w:t>
      </w:r>
    </w:p>
    <w:p w14:paraId="340073AD">
      <w:pPr>
        <w:pStyle w:val="8"/>
        <w:overflowPunct w:val="0"/>
        <w:topLinePunct/>
        <w:autoSpaceDE/>
        <w:autoSpaceDN/>
        <w:spacing w:before="0" w:line="576" w:lineRule="exact"/>
        <w:ind w:left="0" w:firstLine="640" w:firstLineChars="200"/>
        <w:jc w:val="both"/>
        <w:outlineLvl w:val="1"/>
        <w:rPr>
          <w:rFonts w:ascii="Times New Roman" w:hAnsi="Times New Roman" w:eastAsia="方正楷体简体" w:cs="方正楷体简体"/>
          <w:sz w:val="32"/>
          <w:szCs w:val="32"/>
        </w:rPr>
      </w:pPr>
      <w:bookmarkStart w:id="170" w:name="_Toc243241444"/>
      <w:r>
        <w:rPr>
          <w:rFonts w:ascii="Times New Roman" w:hAnsi="Times New Roman" w:eastAsia="方正楷体简体" w:cs="方正楷体简体"/>
          <w:sz w:val="32"/>
          <w:szCs w:val="32"/>
        </w:rPr>
        <w:t>（二）</w:t>
      </w:r>
      <w:bookmarkStart w:id="171" w:name="OLE_LINK45"/>
      <w:r>
        <w:rPr>
          <w:rFonts w:ascii="Times New Roman" w:hAnsi="Times New Roman" w:eastAsia="方正楷体简体" w:cs="方正楷体简体"/>
          <w:sz w:val="32"/>
          <w:szCs w:val="32"/>
        </w:rPr>
        <w:t>核心产业空间分布特征</w:t>
      </w:r>
      <w:bookmarkEnd w:id="170"/>
      <w:bookmarkEnd w:id="171"/>
    </w:p>
    <w:p w14:paraId="10628992">
      <w:pPr>
        <w:pStyle w:val="29"/>
        <w:spacing w:line="576" w:lineRule="exact"/>
        <w:ind w:firstLine="640" w:firstLineChars="200"/>
        <w:jc w:val="both"/>
        <w:outlineLvl w:val="2"/>
        <w:rPr>
          <w:rFonts w:ascii="Times New Roman" w:hAnsi="Times New Roman" w:eastAsia="方正仿宋简体" w:cs="方正仿宋简体"/>
          <w:bCs/>
          <w:sz w:val="32"/>
          <w:szCs w:val="28"/>
          <w:lang w:val="en-US"/>
        </w:rPr>
      </w:pPr>
      <w:bookmarkStart w:id="172" w:name="_Toc243241445"/>
      <w:bookmarkStart w:id="173" w:name="OLE_LINK34"/>
      <w:r>
        <w:rPr>
          <w:rFonts w:hint="eastAsia" w:ascii="Times New Roman" w:hAnsi="Times New Roman" w:eastAsia="方正仿宋简体" w:cs="方正仿宋简体"/>
          <w:bCs/>
          <w:sz w:val="32"/>
          <w:szCs w:val="28"/>
          <w:lang w:val="en-US"/>
        </w:rPr>
        <w:t>1</w:t>
      </w:r>
      <w:r>
        <w:rPr>
          <w:rFonts w:hint="eastAsia" w:ascii="Times New Roman" w:hAnsi="Times New Roman" w:eastAsia="方正仿宋简体" w:cs="方正仿宋简体"/>
          <w:bCs/>
          <w:sz w:val="32"/>
          <w:szCs w:val="28"/>
          <w:lang w:val="en-US" w:eastAsia="zh-CN"/>
        </w:rPr>
        <w:t>．</w:t>
      </w:r>
      <w:r>
        <w:rPr>
          <w:rFonts w:hint="eastAsia" w:ascii="Times New Roman" w:hAnsi="Times New Roman" w:eastAsia="方正仿宋简体" w:cs="方正仿宋简体"/>
          <w:bCs/>
          <w:sz w:val="32"/>
          <w:szCs w:val="28"/>
          <w:lang w:val="en-US"/>
        </w:rPr>
        <w:t>清洁能源产业：中部突破、东西联动、依网布局</w:t>
      </w:r>
      <w:bookmarkEnd w:id="172"/>
    </w:p>
    <w:p w14:paraId="2F4451B9">
      <w:pPr>
        <w:pStyle w:val="27"/>
        <w:overflowPunct w:val="0"/>
        <w:spacing w:line="576" w:lineRule="exact"/>
        <w:ind w:firstLine="640" w:firstLineChars="200"/>
        <w:jc w:val="both"/>
        <w:rPr>
          <w:rFonts w:ascii="Times New Roman" w:hAnsi="Times New Roman" w:eastAsia="方正仿宋简体" w:cs="方正仿宋简体"/>
          <w:bCs/>
          <w:sz w:val="32"/>
          <w:szCs w:val="28"/>
          <w:lang w:val="en-US" w:eastAsia="zh-CN"/>
        </w:rPr>
      </w:pPr>
      <w:r>
        <w:rPr>
          <w:rFonts w:ascii="Times New Roman" w:hAnsi="Times New Roman" w:eastAsia="方正仿宋简体" w:cs="方正仿宋简体"/>
          <w:bCs/>
          <w:sz w:val="32"/>
          <w:szCs w:val="28"/>
          <w:lang w:val="en-US" w:eastAsia="zh-CN"/>
        </w:rPr>
        <w:t>全市清洁能源产业严格遵循“三线一片一区”总体空间布局，整体呈现中部率先规模化发展、东西部联动储备开发、沿路网电网集聚布局的发展格局。目前，产业正处于提质升级、迭代增效的关键阶段，在建标杆项目主要集中在中部色尼区古露镇等电网接入条件优越、交通配套体系完善的核心区域，东西部县域依托自身资源禀赋，重点开展资源储备、试点示范开发工作，形成梯度化、差异化发展态势。当前，藏北区域电力主网架联通基础薄弱、电网电力消纳能力不足，仍是制约全市清洁能源规模化开发、全额消纳的核心瓶颈，电力基础设施承载力直接决定了清洁能源产业空间布局、开发体量与发展上限。据相关部门资料显示，藏中第二通道项目预计今年九月完成核准，该项目及配套提质改造工程是现阶段改善电网格局、提升电力消纳能力的核心抓手，也是有望扭转那曲与藏中骨干网弱连接现状的关键举措。但受区域电网整体架构、配套设施同步建设进度等因素影响，项目能否彻底改变长期以来的弱连接状态仍存在不确定性。项目落地建成后，将在一定程度上补齐藏北电网基础设施短板、疏通电力输送堵点，有效提升全市清洁能源电力输送与消纳水平，为全市清洁能源产业规模化、高质量发展提供重要支撑。</w:t>
      </w:r>
    </w:p>
    <w:bookmarkEnd w:id="173"/>
    <w:p w14:paraId="6AFFFC13">
      <w:pPr>
        <w:pStyle w:val="29"/>
        <w:spacing w:line="576" w:lineRule="exact"/>
        <w:ind w:firstLine="640" w:firstLineChars="200"/>
        <w:jc w:val="both"/>
        <w:outlineLvl w:val="2"/>
        <w:rPr>
          <w:rFonts w:ascii="Times New Roman" w:hAnsi="Times New Roman" w:eastAsia="方正仿宋简体" w:cs="方正仿宋简体"/>
          <w:bCs/>
          <w:sz w:val="32"/>
          <w:szCs w:val="28"/>
          <w:lang w:val="en-US"/>
        </w:rPr>
      </w:pPr>
      <w:bookmarkStart w:id="174" w:name="_Toc243241446"/>
      <w:r>
        <w:rPr>
          <w:rFonts w:hint="eastAsia" w:ascii="Times New Roman" w:hAnsi="Times New Roman" w:eastAsia="方正仿宋简体" w:cs="方正仿宋简体"/>
          <w:bCs/>
          <w:sz w:val="32"/>
          <w:szCs w:val="28"/>
          <w:lang w:val="en-US"/>
        </w:rPr>
        <w:t>2</w:t>
      </w:r>
      <w:r>
        <w:rPr>
          <w:rFonts w:hint="eastAsia" w:ascii="Times New Roman" w:hAnsi="Times New Roman" w:eastAsia="方正仿宋简体" w:cs="方正仿宋简体"/>
          <w:bCs/>
          <w:sz w:val="32"/>
          <w:szCs w:val="28"/>
          <w:lang w:val="en-US" w:eastAsia="zh-CN"/>
        </w:rPr>
        <w:t>．</w:t>
      </w:r>
      <w:r>
        <w:rPr>
          <w:rFonts w:hint="eastAsia" w:ascii="Times New Roman" w:hAnsi="Times New Roman" w:eastAsia="方正仿宋简体" w:cs="方正仿宋简体"/>
          <w:bCs/>
          <w:sz w:val="32"/>
          <w:szCs w:val="28"/>
          <w:lang w:eastAsia="zh-CN"/>
        </w:rPr>
        <w:t>高原特色畜牧业</w:t>
      </w:r>
      <w:r>
        <w:rPr>
          <w:rFonts w:hint="eastAsia" w:ascii="Times New Roman" w:hAnsi="Times New Roman" w:eastAsia="方正仿宋简体" w:cs="方正仿宋简体"/>
          <w:bCs/>
          <w:sz w:val="32"/>
          <w:szCs w:val="28"/>
          <w:lang w:val="en-US"/>
        </w:rPr>
        <w:t>：全域覆盖、分区集聚、梯度布局</w:t>
      </w:r>
      <w:bookmarkEnd w:id="174"/>
    </w:p>
    <w:p w14:paraId="797644E2">
      <w:pPr>
        <w:pStyle w:val="27"/>
        <w:overflowPunct w:val="0"/>
        <w:spacing w:line="576" w:lineRule="exact"/>
        <w:ind w:firstLine="640" w:firstLineChars="200"/>
        <w:jc w:val="both"/>
        <w:rPr>
          <w:rFonts w:ascii="Times New Roman" w:hAnsi="Times New Roman" w:eastAsia="方正仿宋简体" w:cs="方正仿宋简体"/>
          <w:bCs/>
          <w:sz w:val="32"/>
          <w:szCs w:val="28"/>
          <w:lang w:val="en-US" w:eastAsia="zh-CN"/>
        </w:rPr>
      </w:pPr>
      <w:r>
        <w:rPr>
          <w:rFonts w:ascii="Times New Roman" w:hAnsi="Times New Roman" w:eastAsia="方正仿宋简体" w:cs="方正仿宋简体"/>
          <w:bCs/>
          <w:sz w:val="32"/>
          <w:szCs w:val="28"/>
          <w:lang w:val="en-US" w:eastAsia="zh-CN"/>
        </w:rPr>
        <w:t>高原特色畜牧业是那曲覆盖面最广、基础性最强、支撑作用最稳的支柱产业，整体呈现全域覆盖、遍地赋能、分区集聚、梯度发展、专精提质的良好格局。全市各乡镇均以畜牧产业为核心基础业态，实现畜牧产业、养殖</w:t>
      </w:r>
      <w:r>
        <w:rPr>
          <w:rFonts w:hint="eastAsia" w:ascii="Times New Roman" w:hAnsi="Times New Roman" w:eastAsia="方正仿宋简体" w:cs="方正仿宋简体"/>
          <w:bCs/>
          <w:sz w:val="32"/>
          <w:szCs w:val="28"/>
          <w:lang w:val="en-US" w:eastAsia="zh-CN"/>
        </w:rPr>
        <w:t>等</w:t>
      </w:r>
      <w:r>
        <w:rPr>
          <w:rFonts w:ascii="Times New Roman" w:hAnsi="Times New Roman" w:eastAsia="方正仿宋简体" w:cs="方正仿宋简体"/>
          <w:bCs/>
          <w:sz w:val="32"/>
          <w:szCs w:val="28"/>
          <w:lang w:val="en-US" w:eastAsia="zh-CN"/>
        </w:rPr>
        <w:t>合作社全域全覆盖，筑牢了产业发展基层根基，同时依托各县域资源禀赋，形成差异化、特色化的产业集聚发展片区。种质资源布局上，全市立足地域品种优势，构建起</w:t>
      </w:r>
      <w:r>
        <w:rPr>
          <w:rFonts w:hint="eastAsia" w:ascii="方正仿宋简体" w:hAnsi="方正仿宋简体" w:eastAsia="方正仿宋简体" w:cs="方正仿宋简体"/>
          <w:bCs/>
          <w:sz w:val="32"/>
          <w:szCs w:val="28"/>
          <w:lang w:val="en-US" w:eastAsia="zh-CN"/>
        </w:rPr>
        <w:t>“一县一品、分区专精”</w:t>
      </w:r>
      <w:r>
        <w:rPr>
          <w:rFonts w:ascii="Times New Roman" w:hAnsi="Times New Roman" w:eastAsia="方正仿宋简体" w:cs="方正仿宋简体"/>
          <w:bCs/>
          <w:sz w:val="32"/>
          <w:szCs w:val="28"/>
          <w:lang w:val="en-US" w:eastAsia="zh-CN"/>
        </w:rPr>
        <w:t>的特色种质发展体系，其中中部嘉黎县重点培育发展娘亚牦牛特色种质产业，东部巴青县聚焦本塔牦牛提质增效，西部班戈县、安多县主打色瓦绵羊、多玛绵羊特色养殖，形成错位发展、优势互补的种质资源布局。加工流通布局上，全市畜产品肉奶精深加工龙头企业、专业合作组织相对集聚于中部色尼区及沿路重点乡（镇），依托区位交通、集散配套优势，打造形成集畜产品精深加工、品牌培育运营、仓储集散外销于一体的全市核心产业集聚区，实现了全域养殖赋能、分区特色提质、核心区域加工流通的梯度化产业发展布局。</w:t>
      </w:r>
    </w:p>
    <w:p w14:paraId="493D862A">
      <w:pPr>
        <w:pStyle w:val="29"/>
        <w:spacing w:line="576" w:lineRule="exact"/>
        <w:ind w:firstLine="640" w:firstLineChars="200"/>
        <w:jc w:val="both"/>
        <w:outlineLvl w:val="2"/>
        <w:rPr>
          <w:rFonts w:ascii="Times New Roman" w:hAnsi="Times New Roman" w:eastAsia="方正仿宋简体" w:cs="方正仿宋简体"/>
          <w:bCs/>
          <w:sz w:val="32"/>
          <w:szCs w:val="28"/>
          <w:lang w:val="en-US"/>
        </w:rPr>
      </w:pPr>
      <w:bookmarkStart w:id="175" w:name="_Toc243241447"/>
      <w:bookmarkStart w:id="176" w:name="OLE_LINK49"/>
      <w:r>
        <w:rPr>
          <w:rFonts w:hint="eastAsia" w:ascii="Times New Roman" w:hAnsi="Times New Roman" w:eastAsia="方正仿宋简体" w:cs="方正仿宋简体"/>
          <w:bCs/>
          <w:sz w:val="32"/>
          <w:szCs w:val="28"/>
          <w:lang w:val="en-US"/>
        </w:rPr>
        <w:t>3</w:t>
      </w:r>
      <w:r>
        <w:rPr>
          <w:rFonts w:hint="eastAsia" w:ascii="Times New Roman" w:hAnsi="Times New Roman" w:eastAsia="方正仿宋简体" w:cs="方正仿宋简体"/>
          <w:bCs/>
          <w:sz w:val="32"/>
          <w:szCs w:val="28"/>
          <w:lang w:val="en-US" w:eastAsia="zh-CN"/>
        </w:rPr>
        <w:t>．</w:t>
      </w:r>
      <w:r>
        <w:rPr>
          <w:rFonts w:hint="eastAsia" w:ascii="Times New Roman" w:hAnsi="Times New Roman" w:eastAsia="方正仿宋简体" w:cs="方正仿宋简体"/>
          <w:bCs/>
          <w:sz w:val="32"/>
          <w:szCs w:val="28"/>
          <w:lang w:eastAsia="zh-CN"/>
        </w:rPr>
        <w:t>生态文旅产业</w:t>
      </w:r>
      <w:r>
        <w:rPr>
          <w:rFonts w:hint="eastAsia" w:ascii="Times New Roman" w:hAnsi="Times New Roman" w:eastAsia="方正仿宋简体" w:cs="方正仿宋简体"/>
          <w:bCs/>
          <w:sz w:val="32"/>
          <w:szCs w:val="28"/>
          <w:lang w:val="en-US"/>
        </w:rPr>
        <w:t>：资源锚定、沿路串联、点状爆发</w:t>
      </w:r>
      <w:bookmarkEnd w:id="175"/>
    </w:p>
    <w:p w14:paraId="5850E108">
      <w:pPr>
        <w:pStyle w:val="27"/>
        <w:overflowPunct w:val="0"/>
        <w:spacing w:line="576" w:lineRule="exact"/>
        <w:ind w:firstLine="640" w:firstLineChars="200"/>
        <w:jc w:val="both"/>
        <w:rPr>
          <w:rFonts w:ascii="Times New Roman" w:hAnsi="Times New Roman" w:eastAsia="方正仿宋简体" w:cs="方正仿宋简体"/>
          <w:bCs/>
          <w:sz w:val="32"/>
          <w:szCs w:val="28"/>
          <w:lang w:val="en-US" w:eastAsia="zh-CN"/>
        </w:rPr>
      </w:pPr>
      <w:r>
        <w:rPr>
          <w:rFonts w:ascii="Times New Roman" w:hAnsi="Times New Roman" w:eastAsia="方正仿宋简体" w:cs="方正仿宋简体"/>
          <w:bCs/>
          <w:sz w:val="32"/>
          <w:szCs w:val="28"/>
          <w:lang w:eastAsia="zh-CN"/>
        </w:rPr>
        <w:t>文旅产业整体呈现资源锚定布点、交通廊道串联、精品业态点状突破、全域线路联动发展的空间分布特征。现有优质文旅节点依托得天独厚的高原自然生态、厚重历史人文资源布局，已形成以当惹雍错、萨普</w:t>
      </w:r>
      <w:r>
        <w:rPr>
          <w:rFonts w:hint="eastAsia" w:ascii="Times New Roman" w:hAnsi="Times New Roman" w:eastAsia="方正仿宋简体" w:cs="方正仿宋简体"/>
          <w:bCs/>
          <w:sz w:val="32"/>
          <w:szCs w:val="28"/>
          <w:lang w:eastAsia="zh-CN"/>
        </w:rPr>
        <w:t>雪山</w:t>
      </w:r>
      <w:r>
        <w:rPr>
          <w:rFonts w:ascii="Times New Roman" w:hAnsi="Times New Roman" w:eastAsia="方正仿宋简体" w:cs="方正仿宋简体"/>
          <w:bCs/>
          <w:sz w:val="32"/>
          <w:szCs w:val="28"/>
          <w:lang w:eastAsia="zh-CN"/>
        </w:rPr>
        <w:t>、色林错、唐蕃古道等国家4A级景区为核心支撑的优质景区矩阵；麦地卡湿地为国家级自然保护区、国际重要湿地，依托独特高寒湿地生态资源纳入全域文旅观光线统筹打造，严守</w:t>
      </w:r>
      <w:r>
        <w:rPr>
          <w:rFonts w:hint="eastAsia" w:ascii="Times New Roman" w:hAnsi="Times New Roman" w:eastAsia="方正仿宋简体" w:cs="方正仿宋简体"/>
          <w:bCs/>
          <w:sz w:val="32"/>
          <w:szCs w:val="28"/>
          <w:lang w:eastAsia="zh-CN"/>
        </w:rPr>
        <w:t>生态保护红线</w:t>
      </w:r>
      <w:r>
        <w:rPr>
          <w:rFonts w:ascii="Times New Roman" w:hAnsi="Times New Roman" w:eastAsia="方正仿宋简体" w:cs="方正仿宋简体"/>
          <w:bCs/>
          <w:sz w:val="32"/>
          <w:szCs w:val="28"/>
          <w:lang w:eastAsia="zh-CN"/>
        </w:rPr>
        <w:t>开展合规性生态观光、科普研学类轻量化文旅业态开发。全市重点打造东环线、西环线、羌塘天湖线三条精品旅游廊道，串联全域核心文旅资源。全域旅游服务驿站、牧家乐、民俗体验点位、高原康养业态主要沿G109、G317、G558主干路网沿线布局，依靠干线交通串点成线、连线成面，有序推动优质生态资源、人文资源稳步向文旅产业优势集约转化。</w:t>
      </w:r>
    </w:p>
    <w:bookmarkEnd w:id="176"/>
    <w:p w14:paraId="31D5DFB3">
      <w:pPr>
        <w:pStyle w:val="29"/>
        <w:spacing w:line="576" w:lineRule="exact"/>
        <w:ind w:firstLine="640" w:firstLineChars="200"/>
        <w:jc w:val="both"/>
        <w:outlineLvl w:val="2"/>
        <w:rPr>
          <w:rFonts w:ascii="Times New Roman" w:hAnsi="Times New Roman" w:eastAsia="方正仿宋简体" w:cs="方正仿宋简体"/>
          <w:bCs/>
          <w:sz w:val="32"/>
          <w:szCs w:val="28"/>
          <w:lang w:val="en-US"/>
        </w:rPr>
      </w:pPr>
      <w:bookmarkStart w:id="177" w:name="_Toc243241448"/>
      <w:r>
        <w:rPr>
          <w:rFonts w:hint="eastAsia" w:ascii="Times New Roman" w:hAnsi="Times New Roman" w:eastAsia="方正仿宋简体" w:cs="方正仿宋简体"/>
          <w:bCs/>
          <w:sz w:val="32"/>
          <w:szCs w:val="28"/>
          <w:lang w:val="en-US"/>
        </w:rPr>
        <w:t>4</w:t>
      </w:r>
      <w:r>
        <w:rPr>
          <w:rFonts w:hint="eastAsia" w:ascii="Times New Roman" w:hAnsi="Times New Roman" w:eastAsia="方正仿宋简体" w:cs="方正仿宋简体"/>
          <w:bCs/>
          <w:sz w:val="32"/>
          <w:szCs w:val="28"/>
          <w:lang w:val="en-US" w:eastAsia="zh-CN"/>
        </w:rPr>
        <w:t>．</w:t>
      </w:r>
      <w:r>
        <w:rPr>
          <w:rFonts w:hint="eastAsia" w:ascii="Times New Roman" w:hAnsi="Times New Roman" w:eastAsia="方正仿宋简体" w:cs="方正仿宋简体"/>
          <w:bCs/>
          <w:sz w:val="32"/>
          <w:szCs w:val="28"/>
          <w:lang w:eastAsia="zh-CN"/>
        </w:rPr>
        <w:t>特色资源产业</w:t>
      </w:r>
      <w:r>
        <w:rPr>
          <w:rFonts w:hint="eastAsia" w:ascii="Times New Roman" w:hAnsi="Times New Roman" w:eastAsia="方正仿宋简体" w:cs="方正仿宋简体"/>
          <w:bCs/>
          <w:sz w:val="32"/>
          <w:szCs w:val="28"/>
          <w:lang w:val="en-US"/>
        </w:rPr>
        <w:t>：资源集聚、季节性强、约束显著</w:t>
      </w:r>
      <w:bookmarkEnd w:id="177"/>
    </w:p>
    <w:p w14:paraId="74F3B02A">
      <w:pPr>
        <w:pStyle w:val="27"/>
        <w:overflowPunct w:val="0"/>
        <w:spacing w:line="576" w:lineRule="exact"/>
        <w:ind w:firstLine="640" w:firstLineChars="200"/>
        <w:jc w:val="both"/>
        <w:rPr>
          <w:rFonts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rPr>
        <w:t>以藏药</w:t>
      </w:r>
      <w:r>
        <w:rPr>
          <w:rFonts w:hint="eastAsia" w:ascii="Times New Roman" w:hAnsi="Times New Roman" w:eastAsia="方正仿宋简体" w:cs="方正仿宋简体"/>
          <w:bCs/>
          <w:sz w:val="32"/>
          <w:szCs w:val="28"/>
          <w:lang w:val="en-US" w:eastAsia="zh-CN"/>
        </w:rPr>
        <w:t>材、高原特色种植为主体的特色资源产业，空间分异特征极强。那曲冬虫夏草等珍稀道地药材高度集聚于色尼区、聂荣县、嘉黎县，比如县、巴青县、索县等湿润河谷山地，是农牧民现金收入的重要来源。产业发展严格受制于高海拔物候条件，生产周期短、季节性极强、地域专属度高，呈现资源专属、季节集中、东部集聚、点状开发的鲜明特征。</w:t>
      </w:r>
    </w:p>
    <w:p w14:paraId="43BA28CE">
      <w:pPr>
        <w:pStyle w:val="29"/>
        <w:spacing w:line="576" w:lineRule="exact"/>
        <w:ind w:firstLine="640" w:firstLineChars="200"/>
        <w:jc w:val="both"/>
        <w:outlineLvl w:val="2"/>
        <w:rPr>
          <w:rFonts w:ascii="Times New Roman" w:hAnsi="Times New Roman" w:eastAsia="方正仿宋简体" w:cs="方正仿宋简体"/>
          <w:bCs/>
          <w:sz w:val="32"/>
          <w:szCs w:val="28"/>
          <w:lang w:val="en-US"/>
        </w:rPr>
      </w:pPr>
      <w:bookmarkStart w:id="178" w:name="_Toc243241449"/>
      <w:r>
        <w:rPr>
          <w:rFonts w:hint="eastAsia" w:ascii="Times New Roman" w:hAnsi="Times New Roman" w:eastAsia="方正仿宋简体" w:cs="方正仿宋简体"/>
          <w:bCs/>
          <w:sz w:val="32"/>
          <w:szCs w:val="28"/>
          <w:lang w:val="en-US"/>
        </w:rPr>
        <w:t>5</w:t>
      </w:r>
      <w:r>
        <w:rPr>
          <w:rFonts w:hint="eastAsia" w:ascii="Times New Roman" w:hAnsi="Times New Roman" w:eastAsia="方正仿宋简体" w:cs="方正仿宋简体"/>
          <w:bCs/>
          <w:sz w:val="32"/>
          <w:szCs w:val="28"/>
          <w:lang w:val="en-US" w:eastAsia="zh-CN"/>
        </w:rPr>
        <w:t>．</w:t>
      </w:r>
      <w:r>
        <w:rPr>
          <w:rFonts w:hint="eastAsia" w:ascii="Times New Roman" w:hAnsi="Times New Roman" w:eastAsia="方正仿宋简体" w:cs="方正仿宋简体"/>
          <w:bCs/>
          <w:sz w:val="32"/>
          <w:szCs w:val="28"/>
          <w:lang w:eastAsia="zh-CN"/>
        </w:rPr>
        <w:t>民族手工业与现代服务业</w:t>
      </w:r>
      <w:r>
        <w:rPr>
          <w:rFonts w:hint="eastAsia" w:ascii="Times New Roman" w:hAnsi="Times New Roman" w:eastAsia="方正仿宋简体" w:cs="方正仿宋简体"/>
          <w:bCs/>
          <w:sz w:val="32"/>
          <w:szCs w:val="28"/>
          <w:lang w:val="en-US"/>
        </w:rPr>
        <w:t>：点状布局、属地服务、就近配套</w:t>
      </w:r>
      <w:bookmarkEnd w:id="178"/>
    </w:p>
    <w:p w14:paraId="57BC2FE4">
      <w:pPr>
        <w:pStyle w:val="27"/>
        <w:overflowPunct w:val="0"/>
        <w:spacing w:line="576" w:lineRule="exact"/>
        <w:ind w:firstLine="640" w:firstLineChars="200"/>
        <w:jc w:val="both"/>
        <w:rPr>
          <w:rFonts w:ascii="Times New Roman" w:hAnsi="Times New Roman" w:eastAsia="方正仿宋简体" w:cs="方正仿宋简体"/>
          <w:bCs/>
          <w:sz w:val="32"/>
          <w:szCs w:val="28"/>
          <w:lang w:val="en-US"/>
        </w:rPr>
      </w:pPr>
      <w:r>
        <w:rPr>
          <w:rFonts w:hint="eastAsia" w:ascii="Times New Roman" w:hAnsi="Times New Roman" w:eastAsia="方正仿宋简体" w:cs="方正仿宋简体"/>
          <w:bCs/>
          <w:sz w:val="32"/>
          <w:szCs w:val="28"/>
          <w:lang w:val="en-US"/>
        </w:rPr>
        <w:t>民族手工业、商贸物流等服务业受市场容量、人口分布、基础设施条件约束，整体呈现</w:t>
      </w:r>
      <w:r>
        <w:rPr>
          <w:rFonts w:hint="eastAsia" w:ascii="Times New Roman" w:hAnsi="Times New Roman" w:eastAsia="方正仿宋简体" w:cs="方正仿宋简体"/>
          <w:bCs/>
          <w:sz w:val="32"/>
          <w:szCs w:val="28"/>
          <w:lang w:val="en-US" w:eastAsia="zh-CN"/>
        </w:rPr>
        <w:t>乡（镇）</w:t>
      </w:r>
      <w:r>
        <w:rPr>
          <w:rFonts w:hint="eastAsia" w:ascii="Times New Roman" w:hAnsi="Times New Roman" w:eastAsia="方正仿宋简体" w:cs="方正仿宋简体"/>
          <w:bCs/>
          <w:sz w:val="32"/>
          <w:szCs w:val="28"/>
          <w:lang w:val="en-US"/>
        </w:rPr>
        <w:t>布点、中心集聚、属地配套、服务全域的特征。藏香、唐卡、皮具等传统手工业以合作社、小微工坊形式在资源属地、重点</w:t>
      </w:r>
      <w:r>
        <w:rPr>
          <w:rFonts w:hint="eastAsia" w:ascii="Times New Roman" w:hAnsi="Times New Roman" w:eastAsia="方正仿宋简体" w:cs="方正仿宋简体"/>
          <w:bCs/>
          <w:sz w:val="32"/>
          <w:szCs w:val="28"/>
          <w:lang w:val="en-US" w:eastAsia="zh-CN"/>
        </w:rPr>
        <w:t>乡（镇）</w:t>
      </w:r>
      <w:r>
        <w:rPr>
          <w:rFonts w:hint="eastAsia" w:ascii="Times New Roman" w:hAnsi="Times New Roman" w:eastAsia="方正仿宋简体" w:cs="方正仿宋简体"/>
          <w:bCs/>
          <w:sz w:val="32"/>
          <w:szCs w:val="28"/>
          <w:lang w:val="en-US"/>
        </w:rPr>
        <w:t>点状布局；冷链物流、商贸集散、生活服务等业态高度集聚于各县</w:t>
      </w:r>
      <w:r>
        <w:rPr>
          <w:rFonts w:hint="eastAsia" w:ascii="Times New Roman" w:hAnsi="Times New Roman" w:eastAsia="方正仿宋简体" w:cs="方正仿宋简体"/>
          <w:bCs/>
          <w:sz w:val="32"/>
          <w:szCs w:val="28"/>
          <w:lang w:val="en-US" w:eastAsia="zh-CN"/>
        </w:rPr>
        <w:t>（</w:t>
      </w:r>
      <w:r>
        <w:rPr>
          <w:rFonts w:hint="eastAsia" w:ascii="Times New Roman" w:hAnsi="Times New Roman" w:eastAsia="方正仿宋简体" w:cs="方正仿宋简体"/>
          <w:bCs/>
          <w:sz w:val="32"/>
          <w:szCs w:val="28"/>
          <w:lang w:val="en-US"/>
        </w:rPr>
        <w:t>区</w:t>
      </w:r>
      <w:r>
        <w:rPr>
          <w:rFonts w:hint="eastAsia" w:ascii="Times New Roman" w:hAnsi="Times New Roman" w:eastAsia="方正仿宋简体" w:cs="方正仿宋简体"/>
          <w:bCs/>
          <w:sz w:val="32"/>
          <w:szCs w:val="28"/>
          <w:lang w:val="en-US" w:eastAsia="zh-CN"/>
        </w:rPr>
        <w:t>）</w:t>
      </w:r>
      <w:r>
        <w:rPr>
          <w:rFonts w:hint="eastAsia" w:ascii="Times New Roman" w:hAnsi="Times New Roman" w:eastAsia="方正仿宋简体" w:cs="方正仿宋简体"/>
          <w:bCs/>
          <w:sz w:val="32"/>
          <w:szCs w:val="28"/>
          <w:lang w:val="en-US"/>
        </w:rPr>
        <w:t>城区，重点服务本地生产生活、支撑特色产品外销，形成“中心集聚、多点配套、全域覆盖”的服务体系。</w:t>
      </w:r>
    </w:p>
    <w:p w14:paraId="69861B7C">
      <w:pPr>
        <w:pStyle w:val="8"/>
        <w:overflowPunct w:val="0"/>
        <w:topLinePunct/>
        <w:autoSpaceDE/>
        <w:autoSpaceDN/>
        <w:spacing w:before="0" w:line="576" w:lineRule="exact"/>
        <w:ind w:left="0" w:firstLine="640" w:firstLineChars="200"/>
        <w:jc w:val="both"/>
        <w:outlineLvl w:val="1"/>
        <w:rPr>
          <w:rFonts w:ascii="Times New Roman" w:hAnsi="Times New Roman" w:eastAsia="方正楷体简体" w:cs="方正楷体简体"/>
          <w:sz w:val="32"/>
          <w:szCs w:val="32"/>
        </w:rPr>
      </w:pPr>
      <w:bookmarkStart w:id="179" w:name="_Toc243241450"/>
      <w:r>
        <w:rPr>
          <w:rFonts w:ascii="Times New Roman" w:hAnsi="Times New Roman" w:eastAsia="方正楷体简体" w:cs="方正楷体简体"/>
          <w:sz w:val="32"/>
          <w:szCs w:val="32"/>
        </w:rPr>
        <w:t>（三）总体特征小结</w:t>
      </w:r>
      <w:bookmarkEnd w:id="179"/>
    </w:p>
    <w:p w14:paraId="58D96632">
      <w:pPr>
        <w:pStyle w:val="27"/>
        <w:overflowPunct w:val="0"/>
        <w:spacing w:line="576" w:lineRule="exact"/>
        <w:ind w:firstLine="640" w:firstLineChars="200"/>
        <w:jc w:val="both"/>
        <w:rPr>
          <w:rFonts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总体来看，那曲市特色产业以高原特色畜牧业为基底支撑，以那曲冬虫夏草等特色资源产业为重要补充，以清洁能源、生态文旅为增长引擎，以民族手工、现代物流为配套支撑，整体呈现</w:t>
      </w:r>
      <w:r>
        <w:rPr>
          <w:rFonts w:hint="eastAsia" w:ascii="Times New Roman" w:hAnsi="Times New Roman" w:eastAsia="方正仿宋简体" w:cs="方正仿宋简体"/>
          <w:sz w:val="32"/>
          <w:szCs w:val="28"/>
          <w:lang w:val="en-US" w:eastAsia="zh-CN"/>
        </w:rPr>
        <w:t>生态约束强、资源依赖性高、空间分异明显、沿路集聚突出、点状开发为主、产业链条偏短</w:t>
      </w:r>
      <w:r>
        <w:rPr>
          <w:rFonts w:hint="eastAsia" w:ascii="Times New Roman" w:hAnsi="Times New Roman" w:eastAsia="方正仿宋简体" w:cs="方正仿宋简体"/>
          <w:bCs/>
          <w:sz w:val="32"/>
          <w:szCs w:val="28"/>
          <w:lang w:val="en-US" w:eastAsia="zh-CN"/>
        </w:rPr>
        <w:t>的空间发展特征。全市县域产业错位发展格局初步形成，但产业集聚度、链条完整度、要素耦合度仍有提升空间。未来，需持续依托基础设施提档升级、科技赋能创新、生态保护优先管控，进一步优化产业空间布局、延伸产业链条、强化区域协同，推动全域特色产业实现集约高效、绿色可持续、高质量发展。</w:t>
      </w:r>
    </w:p>
    <w:p w14:paraId="27327990">
      <w:pPr>
        <w:pStyle w:val="27"/>
        <w:tabs>
          <w:tab w:val="left" w:pos="1248"/>
        </w:tabs>
        <w:spacing w:line="576" w:lineRule="exact"/>
        <w:jc w:val="both"/>
        <w:outlineLvl w:val="0"/>
        <w:rPr>
          <w:rFonts w:ascii="Times New Roman" w:hAnsi="Times New Roman" w:eastAsia="方正仿宋简体" w:cs="方正仿宋简体"/>
          <w:bCs/>
          <w:spacing w:val="-2"/>
          <w:sz w:val="44"/>
          <w:szCs w:val="44"/>
        </w:rPr>
        <w:sectPr>
          <w:pgSz w:w="11906" w:h="16838"/>
          <w:pgMar w:top="2098" w:right="1474" w:bottom="1984" w:left="1587" w:header="851" w:footer="992" w:gutter="0"/>
          <w:pgNumType w:fmt="decimal"/>
          <w:cols w:space="425" w:num="1"/>
          <w:docGrid w:type="lines" w:linePitch="312" w:charSpace="0"/>
        </w:sectPr>
      </w:pPr>
    </w:p>
    <w:p w14:paraId="566E4448">
      <w:pPr>
        <w:pStyle w:val="27"/>
        <w:tabs>
          <w:tab w:val="left" w:pos="1248"/>
        </w:tabs>
        <w:topLinePunct/>
        <w:autoSpaceDE/>
        <w:autoSpaceDN/>
        <w:spacing w:line="576" w:lineRule="exact"/>
        <w:jc w:val="center"/>
        <w:outlineLvl w:val="0"/>
        <w:rPr>
          <w:rFonts w:ascii="Times New Roman" w:hAnsi="Times New Roman" w:eastAsia="方正小标宋简体" w:cs="方正小标宋简体"/>
          <w:b/>
          <w:spacing w:val="-2"/>
          <w:sz w:val="44"/>
          <w:szCs w:val="44"/>
        </w:rPr>
      </w:pPr>
      <w:bookmarkStart w:id="180" w:name="_Toc243241451"/>
      <w:r>
        <w:rPr>
          <w:rFonts w:hint="eastAsia" w:ascii="Times New Roman" w:hAnsi="Times New Roman" w:eastAsia="方正小标宋简体" w:cs="方正小标宋简体"/>
          <w:b/>
          <w:spacing w:val="-2"/>
          <w:sz w:val="44"/>
          <w:szCs w:val="44"/>
        </w:rPr>
        <w:t>第四章</w:t>
      </w:r>
      <w:r>
        <w:rPr>
          <w:rFonts w:hint="eastAsia" w:ascii="Times New Roman" w:hAnsi="Times New Roman" w:eastAsia="方正小标宋简体" w:cs="方正小标宋简体"/>
          <w:b/>
          <w:spacing w:val="-2"/>
          <w:sz w:val="44"/>
          <w:szCs w:val="44"/>
          <w:lang w:val="en-US" w:eastAsia="zh-CN"/>
        </w:rPr>
        <w:t xml:space="preserve"> </w:t>
      </w:r>
      <w:r>
        <w:rPr>
          <w:rFonts w:hint="eastAsia" w:ascii="Times New Roman" w:hAnsi="Times New Roman" w:eastAsia="方正小标宋简体" w:cs="方正仿宋简体"/>
          <w:b/>
          <w:spacing w:val="-2"/>
          <w:sz w:val="44"/>
          <w:szCs w:val="44"/>
          <w:lang w:val="en-US" w:eastAsia="zh-CN"/>
        </w:rPr>
        <w:t>那曲市特色产业层级分类</w:t>
      </w:r>
      <w:bookmarkEnd w:id="180"/>
    </w:p>
    <w:p w14:paraId="5F3E561F">
      <w:pPr>
        <w:autoSpaceDE/>
        <w:autoSpaceDN/>
        <w:spacing w:line="576" w:lineRule="exact"/>
        <w:jc w:val="both"/>
        <w:rPr>
          <w:rFonts w:ascii="Times New Roman" w:hAnsi="Times New Roman" w:eastAsia="方正仿宋简体" w:cs="方正仿宋简体"/>
          <w:sz w:val="32"/>
          <w:szCs w:val="32"/>
        </w:rPr>
      </w:pPr>
    </w:p>
    <w:p w14:paraId="757AC68A">
      <w:pPr>
        <w:pStyle w:val="27"/>
        <w:overflowPunct w:val="0"/>
        <w:spacing w:line="576" w:lineRule="exact"/>
        <w:ind w:firstLine="640" w:firstLineChars="200"/>
        <w:jc w:val="both"/>
        <w:rPr>
          <w:rFonts w:ascii="Times New Roman" w:hAnsi="Times New Roman" w:eastAsia="方正仿宋简体" w:cs="方正仿宋简体"/>
          <w:bCs/>
          <w:sz w:val="32"/>
          <w:szCs w:val="28"/>
          <w:lang w:eastAsia="zh-CN"/>
        </w:rPr>
      </w:pPr>
      <w:r>
        <w:rPr>
          <w:rFonts w:hint="eastAsia" w:ascii="Times New Roman" w:hAnsi="Times New Roman" w:eastAsia="方正仿宋简体" w:cs="方正仿宋简体"/>
          <w:bCs/>
          <w:sz w:val="32"/>
          <w:szCs w:val="28"/>
          <w:lang w:eastAsia="zh-CN"/>
        </w:rPr>
        <w:t>根据那曲市特色产业发展潜力与优势综合评价结果，从资源禀赋、市场需求、政策支撑及创新驱动四个方面对特色产业进行精准筛选，分为基础产业、支柱产业、潜力产业与新兴战略产业四个大类。</w:t>
      </w:r>
    </w:p>
    <w:p w14:paraId="021F8FD4">
      <w:pPr>
        <w:pStyle w:val="8"/>
        <w:overflowPunct w:val="0"/>
        <w:topLinePunct/>
        <w:autoSpaceDE/>
        <w:autoSpaceDN/>
        <w:spacing w:before="0" w:line="576" w:lineRule="exact"/>
        <w:ind w:left="0" w:firstLine="640" w:firstLineChars="200"/>
        <w:jc w:val="both"/>
        <w:outlineLvl w:val="0"/>
        <w:rPr>
          <w:rFonts w:ascii="Times New Roman" w:hAnsi="Times New Roman" w:eastAsia="方正黑体简体" w:cs="方正黑体简体"/>
          <w:sz w:val="32"/>
          <w:szCs w:val="32"/>
          <w:lang w:val="en-US" w:eastAsia="zh-CN"/>
        </w:rPr>
      </w:pPr>
      <w:bookmarkStart w:id="181" w:name="_Toc212558108"/>
      <w:bookmarkStart w:id="182" w:name="_Toc218422260"/>
      <w:bookmarkStart w:id="183" w:name="_Toc243241452"/>
      <w:r>
        <w:rPr>
          <w:rFonts w:hint="eastAsia" w:ascii="Times New Roman" w:hAnsi="Times New Roman" w:eastAsia="方正黑体简体" w:cs="方正黑体简体"/>
          <w:sz w:val="32"/>
          <w:szCs w:val="32"/>
          <w:lang w:val="en-US" w:eastAsia="zh-CN"/>
        </w:rPr>
        <w:t>一、基础产业</w:t>
      </w:r>
      <w:bookmarkEnd w:id="181"/>
      <w:bookmarkEnd w:id="182"/>
      <w:bookmarkEnd w:id="183"/>
    </w:p>
    <w:p w14:paraId="0FDD5684">
      <w:pPr>
        <w:pStyle w:val="8"/>
        <w:overflowPunct w:val="0"/>
        <w:topLinePunct/>
        <w:autoSpaceDE/>
        <w:autoSpaceDN/>
        <w:spacing w:before="0" w:line="576" w:lineRule="exact"/>
        <w:ind w:left="0" w:firstLine="640" w:firstLineChars="200"/>
        <w:jc w:val="both"/>
        <w:outlineLvl w:val="1"/>
        <w:rPr>
          <w:rFonts w:ascii="Times New Roman" w:hAnsi="Times New Roman" w:eastAsia="方正仿宋简体" w:cs="方正仿宋简体"/>
          <w:bCs/>
          <w:sz w:val="32"/>
          <w:szCs w:val="28"/>
          <w:lang w:val="en-US" w:eastAsia="zh-CN"/>
        </w:rPr>
      </w:pPr>
      <w:bookmarkStart w:id="184" w:name="_Toc243241453"/>
      <w:r>
        <w:rPr>
          <w:rFonts w:hint="eastAsia" w:ascii="Times New Roman" w:hAnsi="Times New Roman" w:eastAsia="方正楷体简体" w:cs="方正仿宋简体"/>
          <w:sz w:val="32"/>
          <w:szCs w:val="32"/>
        </w:rPr>
        <w:t>（</w:t>
      </w:r>
      <w:r>
        <w:rPr>
          <w:rFonts w:hint="eastAsia" w:ascii="Times New Roman" w:hAnsi="Times New Roman" w:eastAsia="方正楷体简体" w:cs="方正仿宋简体"/>
          <w:sz w:val="32"/>
          <w:szCs w:val="32"/>
          <w:lang w:eastAsia="zh-CN"/>
        </w:rPr>
        <w:t>一</w:t>
      </w:r>
      <w:r>
        <w:rPr>
          <w:rFonts w:hint="eastAsia" w:ascii="Times New Roman" w:hAnsi="Times New Roman" w:eastAsia="方正楷体简体" w:cs="方正仿宋简体"/>
          <w:sz w:val="32"/>
          <w:szCs w:val="32"/>
        </w:rPr>
        <w:t>）高原特色畜牧业</w:t>
      </w:r>
      <w:bookmarkEnd w:id="184"/>
    </w:p>
    <w:p w14:paraId="394CB6A9">
      <w:pPr>
        <w:pStyle w:val="27"/>
        <w:overflowPunct w:val="0"/>
        <w:spacing w:line="576" w:lineRule="exact"/>
        <w:ind w:firstLine="640" w:firstLineChars="200"/>
        <w:jc w:val="both"/>
        <w:rPr>
          <w:rFonts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高原特色畜牧业是那曲市兼具经济价值、民生价值与生态价值的基础性支柱产业，既是</w:t>
      </w:r>
      <w:bookmarkStart w:id="185" w:name="OLE_LINK173"/>
      <w:r>
        <w:rPr>
          <w:rFonts w:hint="eastAsia" w:ascii="Times New Roman" w:hAnsi="Times New Roman" w:eastAsia="方正仿宋简体" w:cs="方正仿宋简体"/>
          <w:bCs/>
          <w:sz w:val="32"/>
          <w:szCs w:val="28"/>
          <w:lang w:val="en-US" w:eastAsia="zh-CN"/>
        </w:rPr>
        <w:t>那曲</w:t>
      </w:r>
      <w:bookmarkEnd w:id="185"/>
      <w:r>
        <w:rPr>
          <w:rFonts w:hint="eastAsia" w:ascii="Times New Roman" w:hAnsi="Times New Roman" w:eastAsia="方正仿宋简体" w:cs="方正仿宋简体"/>
          <w:bCs/>
          <w:sz w:val="32"/>
          <w:szCs w:val="28"/>
          <w:lang w:val="en-US" w:eastAsia="zh-CN"/>
        </w:rPr>
        <w:t>经济发展的核心支撑、农牧民增收致富的主渠道，也是筑牢高原生态安全屏障、维护区域特色种质资源安全的关键业态。近年来，那曲市立足广阔高寒草场资源禀赋，坚持绿色生态发展导向，持续优化科学养殖模式、强化科技创新赋能、培育壮大新型经营主体、系统推进特色品牌建设，逐步构建起从草原生态管护、种养培育、精深加工到市场流通、富民增收的全链条产业体系，推动传统游牧畜牧业向标准化、规模化、品牌化、现代化高原特色畜牧业转型升级。</w:t>
      </w:r>
    </w:p>
    <w:p w14:paraId="4F083E6C">
      <w:pPr>
        <w:pStyle w:val="27"/>
        <w:overflowPunct w:val="0"/>
        <w:spacing w:line="576" w:lineRule="exact"/>
        <w:ind w:firstLine="640" w:firstLineChars="200"/>
        <w:jc w:val="both"/>
        <w:rPr>
          <w:rFonts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全市高原特色畜牧业产业链体系完整、衔接紧密，各环节协同联动、互为支撑，具体涵盖饲草料保障、科学养殖繁育、加工品牌提升、市场联农增收四大核心板块。</w:t>
      </w:r>
      <w:r>
        <w:rPr>
          <w:rFonts w:hint="eastAsia" w:ascii="Times New Roman" w:hAnsi="Times New Roman" w:eastAsia="方正仿宋简体" w:cs="方正仿宋简体"/>
          <w:b/>
          <w:sz w:val="32"/>
          <w:szCs w:val="28"/>
          <w:lang w:val="en-US" w:eastAsia="zh-CN"/>
        </w:rPr>
        <w:t>一是</w:t>
      </w:r>
      <w:r>
        <w:rPr>
          <w:rFonts w:hint="eastAsia" w:ascii="Times New Roman" w:hAnsi="Times New Roman" w:eastAsia="方正仿宋简体" w:cs="方正仿宋简体"/>
          <w:bCs/>
          <w:sz w:val="32"/>
          <w:szCs w:val="28"/>
          <w:lang w:val="en-US" w:eastAsia="zh-CN"/>
        </w:rPr>
        <w:t>饲草料种植与生态供应保障环节。坚持以草定畜、草畜平衡，把饲草稳定供给作为畜牧业可持续发展的基础支撑。一方面，规模化推进人工种草，积极推广庭院种草、冬圈夏草、集中连片种植等模式，全市人工种草年种植面积稳定在10万亩以上，有效补齐冬春饲草缺口，缓解天然草场载畜压力。另一方面，常态化开展天然草地保护修复，落地实施退化草地综合治理、植被恢复改良等技术措施，累计完成天然草地退化防治与生态修复示范面积3000亩以上，有效提升修复区域植被覆盖度和草场承载能力，持续夯实产业绿色发展生态基底；</w:t>
      </w:r>
      <w:r>
        <w:rPr>
          <w:rFonts w:hint="eastAsia" w:ascii="Times New Roman" w:hAnsi="Times New Roman" w:eastAsia="方正仿宋简体" w:cs="方正仿宋简体"/>
          <w:b/>
          <w:sz w:val="32"/>
          <w:szCs w:val="28"/>
          <w:lang w:val="en-US" w:eastAsia="zh-CN"/>
        </w:rPr>
        <w:t>二是</w:t>
      </w:r>
      <w:r>
        <w:rPr>
          <w:rFonts w:hint="eastAsia" w:ascii="Times New Roman" w:hAnsi="Times New Roman" w:eastAsia="方正仿宋简体" w:cs="方正仿宋简体"/>
          <w:bCs/>
          <w:sz w:val="32"/>
          <w:szCs w:val="28"/>
          <w:lang w:val="en-US" w:eastAsia="zh-CN"/>
        </w:rPr>
        <w:t>科学养殖与良种繁育提质环节。聚焦传统牧业现代化转型，统筹推进生态养殖模式优化与优良种质资源保育提升。在养殖模式上，全面推行牧草返青期休牧试点，推广“四季轮牧、三季休牧”“放牧+补饲”等科学生态养殖模式，促进草场有序休养生息、永续利用。在良种繁育上，持续加大本土优良畜种保护和改良力度，系统开展娘亚牦牛、查吾拉牦牛、多玛绵羊等特色优良品种的提纯复壮、杂交改良与规范化繁育，以科技赋能持续优化畜群结构、提升养殖产能与综合效益；</w:t>
      </w:r>
      <w:r>
        <w:rPr>
          <w:rFonts w:hint="eastAsia" w:ascii="Times New Roman" w:hAnsi="Times New Roman" w:eastAsia="方正仿宋简体" w:cs="方正仿宋简体"/>
          <w:b/>
          <w:sz w:val="32"/>
          <w:szCs w:val="28"/>
          <w:lang w:val="en-US" w:eastAsia="zh-CN"/>
        </w:rPr>
        <w:t>三是</w:t>
      </w:r>
      <w:r>
        <w:rPr>
          <w:rFonts w:hint="eastAsia" w:ascii="Times New Roman" w:hAnsi="Times New Roman" w:eastAsia="方正仿宋简体" w:cs="方正仿宋简体"/>
          <w:bCs/>
          <w:sz w:val="32"/>
          <w:szCs w:val="28"/>
          <w:lang w:val="en-US" w:eastAsia="zh-CN"/>
        </w:rPr>
        <w:t>畜产品加工与特色品牌建设环节。坚持以精深加工延伸产业链、以品牌培育提升价值链，持续推动畜产品由初级销售向高附加值加工转型。加工层面，积极培育本土龙头加工企业，推动畜产品就地精深加工，嘎尔德乳业建成全自动化灭菌乳、发酵乳标准化生产线，聂荣县嘎确牧场配套建设奶制品、冻肉加工生产线，那曲畜产品标准化加工能力稳步提升。品牌层面，系统推进特色产业品牌培育，持续壮大“嘎尔德”“嘎确”等区域特色品牌，拥有“嘉黎牦牛”“安多绵羊（多玛绵羊）”“西藏那曲冬虫夏草”等一批地理标志产品，产业品牌影响力和市场竞争力持续增强；</w:t>
      </w:r>
      <w:r>
        <w:rPr>
          <w:rFonts w:hint="eastAsia" w:ascii="Times New Roman" w:hAnsi="Times New Roman" w:eastAsia="方正仿宋简体" w:cs="方正仿宋简体"/>
          <w:b/>
          <w:sz w:val="32"/>
          <w:szCs w:val="28"/>
          <w:lang w:val="en-US" w:eastAsia="zh-CN"/>
        </w:rPr>
        <w:t>四是</w:t>
      </w:r>
      <w:r>
        <w:rPr>
          <w:rFonts w:hint="eastAsia" w:ascii="Times New Roman" w:hAnsi="Times New Roman" w:eastAsia="方正仿宋简体" w:cs="方正仿宋简体"/>
          <w:bCs/>
          <w:sz w:val="32"/>
          <w:szCs w:val="28"/>
          <w:lang w:val="en-US" w:eastAsia="zh-CN"/>
        </w:rPr>
        <w:t>市场销售与利益联结富民环节。坚持市场导向、富民导向，持续完善产销体系、健全联农带农机制，推动产业发展成果惠及更多农牧民。销售端构建线上线下融合的多元化流通体系，通过龙头企业、合作社与商超、餐饮主体建立长期订单合作，稳定线下供销渠道；依托电商平台、援藏帮扶资源，在杭州、辽宁、成都等地布局域外直销窗口，持续拓宽产品外销市场。联结端全面推广“龙头企业+基地+合作社+农牧户”产业化发展模式，引导农牧民以草场、牲畜、资金等生产要素入股经营主体，构建紧密稳定的利益共享、风险共担机制，有效带动群众持续稳定增收。</w:t>
      </w:r>
    </w:p>
    <w:p w14:paraId="0A4F8496">
      <w:pPr>
        <w:pStyle w:val="27"/>
        <w:overflowPunct w:val="0"/>
        <w:spacing w:line="576" w:lineRule="exact"/>
        <w:ind w:firstLine="640" w:firstLineChars="200"/>
        <w:jc w:val="both"/>
        <w:rPr>
          <w:rFonts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总体而言，高原特色畜牧业既是那曲市最具基础优势、资源优势的基础产业，也是兼具经济价值、民生价值的支柱产业。依托全球稀缺的高寒生态环境、独一无二的优良畜种资源、全方位的政策支撑保障，叠加产业集群持续成型、科技创新赋能、品牌体系不断完善，全市高原特色畜牧业差异化竞争优势凸显，产业发展基础扎实、成长空间广阔，已成为支撑那曲经济高质量发展、巩固拓展脱贫攻坚成果、推进乡村全面振兴的核心支撑产业。</w:t>
      </w:r>
    </w:p>
    <w:p w14:paraId="279E2FAE">
      <w:pPr>
        <w:pStyle w:val="29"/>
        <w:spacing w:line="576" w:lineRule="exact"/>
        <w:ind w:firstLine="640" w:firstLineChars="200"/>
        <w:jc w:val="both"/>
        <w:outlineLvl w:val="2"/>
        <w:rPr>
          <w:rFonts w:ascii="Times New Roman" w:hAnsi="Times New Roman" w:eastAsia="方正仿宋简体" w:cs="方正仿宋简体"/>
          <w:bCs/>
          <w:sz w:val="32"/>
          <w:szCs w:val="28"/>
          <w:lang w:eastAsia="zh-CN"/>
        </w:rPr>
      </w:pPr>
      <w:bookmarkStart w:id="186" w:name="_Toc243241454"/>
      <w:bookmarkStart w:id="187" w:name="_Toc212558110"/>
      <w:bookmarkStart w:id="188" w:name="OLE_LINK11"/>
      <w:r>
        <w:rPr>
          <w:rFonts w:hint="eastAsia" w:ascii="Times New Roman" w:hAnsi="Times New Roman" w:eastAsia="方正仿宋简体" w:cs="方正仿宋简体"/>
          <w:bCs/>
          <w:sz w:val="32"/>
          <w:szCs w:val="28"/>
          <w:lang w:eastAsia="zh-CN"/>
        </w:rPr>
        <w:t>1</w:t>
      </w:r>
      <w:r>
        <w:rPr>
          <w:rFonts w:hint="eastAsia" w:ascii="Times New Roman" w:hAnsi="Times New Roman" w:eastAsia="方正仿宋简体" w:cs="方正仿宋简体"/>
          <w:bCs/>
          <w:sz w:val="32"/>
          <w:szCs w:val="28"/>
          <w:lang w:val="en-US"/>
        </w:rPr>
        <w:t>．</w:t>
      </w:r>
      <w:r>
        <w:rPr>
          <w:rFonts w:hint="eastAsia" w:ascii="Times New Roman" w:hAnsi="Times New Roman" w:eastAsia="方正仿宋简体" w:cs="方正仿宋简体"/>
          <w:bCs/>
          <w:sz w:val="32"/>
          <w:szCs w:val="28"/>
          <w:lang w:eastAsia="zh-CN"/>
        </w:rPr>
        <w:t>资源优势</w:t>
      </w:r>
      <w:bookmarkEnd w:id="186"/>
    </w:p>
    <w:p w14:paraId="7A980119">
      <w:pPr>
        <w:pStyle w:val="29"/>
        <w:spacing w:line="576" w:lineRule="exact"/>
        <w:ind w:firstLine="643" w:firstLineChars="200"/>
        <w:jc w:val="both"/>
        <w:rPr>
          <w:rFonts w:ascii="Times New Roman" w:hAnsi="Times New Roman" w:eastAsia="方正仿宋简体" w:cs="方正仿宋简体"/>
          <w:bCs/>
          <w:sz w:val="32"/>
          <w:szCs w:val="28"/>
          <w:lang w:eastAsia="zh-CN"/>
        </w:rPr>
      </w:pPr>
      <w:r>
        <w:rPr>
          <w:rFonts w:hint="eastAsia" w:ascii="Times New Roman" w:hAnsi="Times New Roman" w:eastAsia="方正仿宋简体" w:cs="方正仿宋简体"/>
          <w:b/>
          <w:sz w:val="32"/>
          <w:szCs w:val="28"/>
          <w:lang w:val="en-US" w:eastAsia="zh-CN"/>
        </w:rPr>
        <w:t>一是</w:t>
      </w:r>
      <w:r>
        <w:rPr>
          <w:rFonts w:hint="eastAsia" w:ascii="Times New Roman" w:hAnsi="Times New Roman" w:eastAsia="方正仿宋简体" w:cs="方正仿宋简体"/>
          <w:bCs/>
          <w:sz w:val="32"/>
          <w:szCs w:val="28"/>
          <w:lang w:eastAsia="zh-CN"/>
        </w:rPr>
        <w:t>草场资源。</w:t>
      </w:r>
      <w:r>
        <w:rPr>
          <w:rFonts w:hint="eastAsia" w:ascii="Times New Roman" w:hAnsi="Times New Roman" w:eastAsia="方正仿宋简体" w:cs="方正仿宋简体"/>
          <w:bCs/>
          <w:sz w:val="32"/>
          <w:szCs w:val="28"/>
          <w:lang w:val="en-US" w:eastAsia="zh-CN"/>
        </w:rPr>
        <w:t>全市可利用草场面积草地约4.48亿亩，占全区的37.3%，第四轮核定载畜量为1526.95绵羊单位，为西藏最大天然牧场；</w:t>
      </w:r>
      <w:r>
        <w:rPr>
          <w:rFonts w:ascii="Times New Roman" w:hAnsi="Times New Roman" w:eastAsia="方正仿宋简体" w:cs="方正仿宋简体"/>
          <w:b/>
          <w:bCs w:val="0"/>
          <w:sz w:val="32"/>
          <w:szCs w:val="28"/>
          <w:lang w:eastAsia="zh-CN"/>
        </w:rPr>
        <w:t>二是</w:t>
      </w:r>
      <w:r>
        <w:rPr>
          <w:rFonts w:ascii="Times New Roman" w:hAnsi="Times New Roman" w:eastAsia="方正仿宋简体" w:cs="方正仿宋简体"/>
          <w:bCs/>
          <w:sz w:val="32"/>
          <w:szCs w:val="28"/>
          <w:lang w:eastAsia="zh-CN"/>
        </w:rPr>
        <w:t>畜种资源。全市拥有娘亚牦牛、查吾拉牦牛、多玛绵羊等8个高原地方优良畜禽品种，其中4个品种列入国家畜禽遗传资源名录。那曲牦牛种质资源禀赋得天独厚，全市正依托优质本土牦牛种群基础，高标准推进建设中国牦牛种质资源保护区，夯实高原特色牦牛种源保护与良种繁育根基</w:t>
      </w:r>
      <w:r>
        <w:rPr>
          <w:rFonts w:hint="eastAsia" w:ascii="Times New Roman" w:hAnsi="Times New Roman" w:eastAsia="方正仿宋简体" w:cs="方正仿宋简体"/>
          <w:bCs/>
          <w:sz w:val="32"/>
          <w:szCs w:val="28"/>
          <w:lang w:eastAsia="zh-CN"/>
        </w:rPr>
        <w:t>；</w:t>
      </w:r>
      <w:r>
        <w:rPr>
          <w:rFonts w:hint="eastAsia" w:ascii="Times New Roman" w:hAnsi="Times New Roman" w:eastAsia="方正仿宋简体" w:cs="方正仿宋简体"/>
          <w:b/>
          <w:sz w:val="32"/>
          <w:szCs w:val="28"/>
          <w:lang w:val="en-US" w:eastAsia="zh-CN"/>
        </w:rPr>
        <w:t>三是</w:t>
      </w:r>
      <w:r>
        <w:rPr>
          <w:rFonts w:hint="eastAsia" w:ascii="Times New Roman" w:hAnsi="Times New Roman" w:eastAsia="方正仿宋简体" w:cs="方正仿宋简体"/>
          <w:bCs/>
          <w:sz w:val="32"/>
          <w:szCs w:val="28"/>
          <w:lang w:eastAsia="zh-CN"/>
        </w:rPr>
        <w:t>生态环境。高海拔、少污染，环境空气优良天数99%以上，产品具备天然有机属性，契合高端市场需求；</w:t>
      </w:r>
      <w:r>
        <w:rPr>
          <w:rFonts w:hint="eastAsia" w:ascii="Times New Roman" w:hAnsi="Times New Roman" w:eastAsia="方正仿宋简体" w:cs="方正仿宋简体"/>
          <w:b/>
          <w:sz w:val="32"/>
          <w:szCs w:val="28"/>
          <w:lang w:val="en-US" w:eastAsia="zh-CN"/>
        </w:rPr>
        <w:t>四是</w:t>
      </w:r>
      <w:r>
        <w:rPr>
          <w:rFonts w:hint="eastAsia" w:ascii="Times New Roman" w:hAnsi="Times New Roman" w:eastAsia="方正仿宋简体" w:cs="方正仿宋简体"/>
          <w:bCs/>
          <w:sz w:val="32"/>
          <w:szCs w:val="28"/>
          <w:lang w:eastAsia="zh-CN"/>
        </w:rPr>
        <w:t>水源与生物多样性。长江、怒江源头，湖泊超3000个；国家重点保护动物40余种，为生态养殖提供独特背书。</w:t>
      </w:r>
    </w:p>
    <w:p w14:paraId="346F0296">
      <w:pPr>
        <w:pStyle w:val="29"/>
        <w:spacing w:line="576" w:lineRule="exact"/>
        <w:ind w:firstLine="640" w:firstLineChars="200"/>
        <w:jc w:val="both"/>
        <w:outlineLvl w:val="2"/>
        <w:rPr>
          <w:rFonts w:ascii="Times New Roman" w:hAnsi="Times New Roman" w:eastAsia="方正仿宋简体" w:cs="方正仿宋简体"/>
          <w:bCs/>
          <w:sz w:val="32"/>
          <w:szCs w:val="28"/>
          <w:lang w:eastAsia="zh-CN"/>
        </w:rPr>
      </w:pPr>
      <w:bookmarkStart w:id="189" w:name="_Toc243241455"/>
      <w:r>
        <w:rPr>
          <w:rFonts w:hint="eastAsia" w:ascii="Times New Roman" w:hAnsi="Times New Roman" w:eastAsia="方正仿宋简体" w:cs="方正仿宋简体"/>
          <w:bCs/>
          <w:sz w:val="32"/>
          <w:szCs w:val="28"/>
          <w:lang w:eastAsia="zh-CN"/>
        </w:rPr>
        <w:t>2</w:t>
      </w:r>
      <w:r>
        <w:rPr>
          <w:rFonts w:hint="eastAsia" w:ascii="Times New Roman" w:hAnsi="Times New Roman" w:eastAsia="方正仿宋简体" w:cs="方正仿宋简体"/>
          <w:bCs/>
          <w:sz w:val="32"/>
          <w:szCs w:val="28"/>
          <w:lang w:val="en-US"/>
        </w:rPr>
        <w:t>．</w:t>
      </w:r>
      <w:r>
        <w:rPr>
          <w:rFonts w:hint="eastAsia" w:ascii="Times New Roman" w:hAnsi="Times New Roman" w:eastAsia="方正仿宋简体" w:cs="方正仿宋简体"/>
          <w:bCs/>
          <w:sz w:val="32"/>
          <w:szCs w:val="28"/>
          <w:lang w:eastAsia="zh-CN"/>
        </w:rPr>
        <w:t>产业环境</w:t>
      </w:r>
      <w:bookmarkEnd w:id="189"/>
    </w:p>
    <w:p w14:paraId="21C2FA8D">
      <w:pPr>
        <w:pStyle w:val="29"/>
        <w:spacing w:line="576" w:lineRule="exact"/>
        <w:ind w:firstLine="643" w:firstLineChars="200"/>
        <w:jc w:val="both"/>
        <w:rPr>
          <w:rFonts w:ascii="Times New Roman" w:hAnsi="Times New Roman" w:eastAsia="方正仿宋简体" w:cs="方正仿宋简体"/>
          <w:bCs/>
          <w:sz w:val="32"/>
          <w:szCs w:val="28"/>
        </w:rPr>
      </w:pPr>
      <w:r>
        <w:rPr>
          <w:rFonts w:hint="eastAsia" w:ascii="Times New Roman" w:hAnsi="Times New Roman" w:eastAsia="方正仿宋简体" w:cs="方正仿宋简体"/>
          <w:b/>
          <w:sz w:val="32"/>
          <w:szCs w:val="28"/>
          <w:lang w:val="en-US" w:eastAsia="zh-CN"/>
        </w:rPr>
        <w:t>一是</w:t>
      </w:r>
      <w:r>
        <w:rPr>
          <w:rFonts w:hint="eastAsia" w:ascii="Times New Roman" w:hAnsi="Times New Roman" w:eastAsia="方正仿宋简体" w:cs="方正仿宋简体"/>
          <w:bCs/>
          <w:sz w:val="32"/>
          <w:szCs w:val="28"/>
          <w:lang w:eastAsia="zh-CN"/>
        </w:rPr>
        <w:t>生产体系。建成1个国家级、多个自治区级农牧业园区；3家自治区级、19家市级龙头企业，16</w:t>
      </w:r>
      <w:r>
        <w:rPr>
          <w:rFonts w:hint="eastAsia" w:ascii="Times New Roman" w:hAnsi="Times New Roman" w:eastAsia="方正仿宋简体" w:cs="方正仿宋简体"/>
          <w:bCs/>
          <w:sz w:val="32"/>
          <w:szCs w:val="28"/>
          <w:lang w:val="en-US" w:eastAsia="zh-CN"/>
        </w:rPr>
        <w:t>1</w:t>
      </w:r>
      <w:r>
        <w:rPr>
          <w:rFonts w:hint="eastAsia" w:ascii="Times New Roman" w:hAnsi="Times New Roman" w:eastAsia="方正仿宋简体" w:cs="方正仿宋简体"/>
          <w:bCs/>
          <w:sz w:val="32"/>
          <w:szCs w:val="28"/>
          <w:lang w:eastAsia="zh-CN"/>
        </w:rPr>
        <w:t>6家合作社，3734户家庭牧场，“联牧联营”模式成熟；</w:t>
      </w:r>
      <w:r>
        <w:rPr>
          <w:rFonts w:hint="eastAsia" w:ascii="Times New Roman" w:hAnsi="Times New Roman" w:eastAsia="方正仿宋简体" w:cs="方正仿宋简体"/>
          <w:b/>
          <w:sz w:val="32"/>
          <w:szCs w:val="28"/>
          <w:lang w:val="en-US" w:eastAsia="zh-CN"/>
        </w:rPr>
        <w:t>二是</w:t>
      </w:r>
      <w:r>
        <w:rPr>
          <w:rFonts w:hint="eastAsia" w:ascii="Times New Roman" w:hAnsi="Times New Roman" w:eastAsia="方正仿宋简体" w:cs="方正仿宋简体"/>
          <w:bCs/>
          <w:sz w:val="32"/>
          <w:szCs w:val="28"/>
          <w:lang w:eastAsia="zh-CN"/>
        </w:rPr>
        <w:t>养殖模式。推广“四季轮牧+三季休牧”“放牧+补饲”，年人工种草10万余亩，草畜平衡持续优化；</w:t>
      </w:r>
      <w:r>
        <w:rPr>
          <w:rFonts w:hint="eastAsia" w:ascii="Times New Roman" w:hAnsi="Times New Roman" w:eastAsia="方正仿宋简体" w:cs="方正仿宋简体"/>
          <w:b/>
          <w:sz w:val="32"/>
          <w:szCs w:val="28"/>
          <w:lang w:val="en-US" w:eastAsia="zh-CN"/>
        </w:rPr>
        <w:t>三是</w:t>
      </w:r>
      <w:r>
        <w:rPr>
          <w:rFonts w:hint="eastAsia" w:ascii="Times New Roman" w:hAnsi="Times New Roman" w:eastAsia="方正仿宋简体" w:cs="方正仿宋简体"/>
          <w:bCs/>
          <w:sz w:val="32"/>
          <w:szCs w:val="28"/>
          <w:lang w:eastAsia="zh-CN"/>
        </w:rPr>
        <w:t>加工与品牌。肉奶制品年销售额突破3亿元；拥有嘎尔德等区域品牌，4个地理标志产品、18个地理标志证明商标，品牌溢价显现；</w:t>
      </w:r>
      <w:r>
        <w:rPr>
          <w:rFonts w:hint="eastAsia" w:ascii="Times New Roman" w:hAnsi="Times New Roman" w:eastAsia="方正仿宋简体" w:cs="方正仿宋简体"/>
          <w:b/>
          <w:sz w:val="32"/>
          <w:szCs w:val="28"/>
          <w:lang w:val="en-US" w:eastAsia="zh-CN"/>
        </w:rPr>
        <w:t>四是</w:t>
      </w:r>
      <w:r>
        <w:rPr>
          <w:rFonts w:hint="eastAsia" w:ascii="Times New Roman" w:hAnsi="Times New Roman" w:eastAsia="方正仿宋简体" w:cs="方正仿宋简体"/>
          <w:bCs/>
          <w:sz w:val="32"/>
          <w:szCs w:val="28"/>
          <w:lang w:eastAsia="zh-CN"/>
        </w:rPr>
        <w:t>物流与渠道。</w:t>
      </w:r>
      <w:r>
        <w:rPr>
          <w:rFonts w:hint="eastAsia" w:ascii="Times New Roman" w:hAnsi="Times New Roman" w:eastAsia="方正仿宋简体" w:cs="方正仿宋简体"/>
          <w:bCs/>
          <w:sz w:val="32"/>
          <w:szCs w:val="28"/>
        </w:rPr>
        <w:t>“邮快合作+电商直播基地”，线上线下渠道逐步打通。</w:t>
      </w:r>
    </w:p>
    <w:p w14:paraId="5012C6B1">
      <w:pPr>
        <w:pStyle w:val="29"/>
        <w:spacing w:line="576" w:lineRule="exact"/>
        <w:ind w:firstLine="640" w:firstLineChars="200"/>
        <w:jc w:val="both"/>
        <w:outlineLvl w:val="2"/>
        <w:rPr>
          <w:rFonts w:ascii="Times New Roman" w:hAnsi="Times New Roman" w:eastAsia="方正仿宋简体" w:cs="方正仿宋简体"/>
          <w:bCs/>
          <w:sz w:val="32"/>
          <w:szCs w:val="28"/>
          <w:lang w:eastAsia="zh-CN"/>
        </w:rPr>
      </w:pPr>
      <w:bookmarkStart w:id="190" w:name="_Toc243241456"/>
      <w:bookmarkStart w:id="191" w:name="OLE_LINK53"/>
      <w:r>
        <w:rPr>
          <w:rFonts w:hint="eastAsia" w:ascii="Times New Roman" w:hAnsi="Times New Roman" w:eastAsia="方正仿宋简体" w:cs="方正仿宋简体"/>
          <w:bCs/>
          <w:sz w:val="32"/>
          <w:szCs w:val="28"/>
          <w:lang w:eastAsia="zh-CN"/>
        </w:rPr>
        <w:t>3</w:t>
      </w:r>
      <w:r>
        <w:rPr>
          <w:rFonts w:hint="eastAsia" w:ascii="Times New Roman" w:hAnsi="Times New Roman" w:eastAsia="方正仿宋简体" w:cs="方正仿宋简体"/>
          <w:bCs/>
          <w:sz w:val="32"/>
          <w:szCs w:val="28"/>
          <w:lang w:val="en-US"/>
        </w:rPr>
        <w:t>．</w:t>
      </w:r>
      <w:r>
        <w:rPr>
          <w:rFonts w:hint="eastAsia" w:ascii="Times New Roman" w:hAnsi="Times New Roman" w:eastAsia="方正仿宋简体" w:cs="方正仿宋简体"/>
          <w:bCs/>
          <w:sz w:val="32"/>
          <w:szCs w:val="28"/>
          <w:lang w:eastAsia="zh-CN"/>
        </w:rPr>
        <w:t>政策支持</w:t>
      </w:r>
      <w:bookmarkEnd w:id="190"/>
    </w:p>
    <w:p w14:paraId="7B5D5B79">
      <w:pPr>
        <w:pStyle w:val="29"/>
        <w:spacing w:line="576" w:lineRule="exact"/>
        <w:ind w:firstLine="643" w:firstLineChars="200"/>
        <w:jc w:val="both"/>
        <w:rPr>
          <w:rFonts w:ascii="Times New Roman" w:hAnsi="Times New Roman" w:eastAsia="方正仿宋简体" w:cs="方正仿宋简体"/>
          <w:bCs/>
          <w:sz w:val="32"/>
          <w:szCs w:val="28"/>
          <w:lang w:eastAsia="zh-CN"/>
        </w:rPr>
      </w:pPr>
      <w:r>
        <w:rPr>
          <w:rFonts w:hint="eastAsia" w:ascii="Times New Roman" w:hAnsi="Times New Roman" w:eastAsia="方正仿宋简体" w:cs="方正仿宋简体"/>
          <w:b/>
          <w:sz w:val="32"/>
          <w:szCs w:val="28"/>
          <w:lang w:val="en-US" w:eastAsia="zh-CN"/>
        </w:rPr>
        <w:t>一是</w:t>
      </w:r>
      <w:r>
        <w:rPr>
          <w:rFonts w:hint="eastAsia" w:ascii="Times New Roman" w:hAnsi="Times New Roman" w:eastAsia="方正仿宋简体" w:cs="方正仿宋简体"/>
          <w:bCs/>
          <w:sz w:val="32"/>
          <w:szCs w:val="28"/>
          <w:lang w:eastAsia="zh-CN"/>
        </w:rPr>
        <w:t>顶层设计。以创建“中国原生态牦牛之乡”为奋斗目标，推进牦牛肉奶品牌保护立法，打造牦牛产业转型升级样板区；</w:t>
      </w:r>
      <w:bookmarkEnd w:id="191"/>
      <w:r>
        <w:rPr>
          <w:rFonts w:hint="eastAsia" w:ascii="Times New Roman" w:hAnsi="Times New Roman" w:eastAsia="方正仿宋简体" w:cs="方正仿宋简体"/>
          <w:b/>
          <w:sz w:val="32"/>
          <w:szCs w:val="28"/>
          <w:lang w:val="en-US" w:eastAsia="zh-CN"/>
        </w:rPr>
        <w:t>二是</w:t>
      </w:r>
      <w:r>
        <w:rPr>
          <w:rFonts w:hint="eastAsia" w:ascii="Times New Roman" w:hAnsi="Times New Roman" w:eastAsia="方正仿宋简体" w:cs="方正仿宋简体"/>
          <w:bCs/>
          <w:sz w:val="32"/>
          <w:szCs w:val="28"/>
          <w:lang w:eastAsia="zh-CN"/>
        </w:rPr>
        <w:t>财政补贴。实施良种到户到社、公母畜结构调整奖补、奶业振兴补贴、饲草补贴等，覆盖养殖全链条；</w:t>
      </w:r>
      <w:r>
        <w:rPr>
          <w:rFonts w:hint="eastAsia" w:ascii="Times New Roman" w:hAnsi="Times New Roman" w:eastAsia="方正仿宋简体" w:cs="方正仿宋简体"/>
          <w:b/>
          <w:sz w:val="32"/>
          <w:szCs w:val="28"/>
          <w:lang w:val="en-US" w:eastAsia="zh-CN"/>
        </w:rPr>
        <w:t>三是</w:t>
      </w:r>
      <w:r>
        <w:rPr>
          <w:rFonts w:hint="eastAsia" w:ascii="Times New Roman" w:hAnsi="Times New Roman" w:eastAsia="方正仿宋简体" w:cs="方正仿宋简体"/>
          <w:bCs/>
          <w:sz w:val="32"/>
          <w:szCs w:val="28"/>
          <w:lang w:eastAsia="zh-CN"/>
        </w:rPr>
        <w:t>生态保护。草畜平衡、休牧补偿、草场流转规范，退牧还草等工程持续推进；</w:t>
      </w:r>
      <w:r>
        <w:rPr>
          <w:rFonts w:hint="eastAsia" w:ascii="Times New Roman" w:hAnsi="Times New Roman" w:eastAsia="方正仿宋简体" w:cs="方正仿宋简体"/>
          <w:b/>
          <w:sz w:val="32"/>
          <w:szCs w:val="28"/>
          <w:lang w:val="en-US" w:eastAsia="zh-CN"/>
        </w:rPr>
        <w:t>四是</w:t>
      </w:r>
      <w:r>
        <w:rPr>
          <w:rFonts w:hint="eastAsia" w:ascii="Times New Roman" w:hAnsi="Times New Roman" w:eastAsia="方正仿宋简体" w:cs="方正仿宋简体"/>
          <w:bCs/>
          <w:sz w:val="32"/>
          <w:szCs w:val="28"/>
          <w:lang w:eastAsia="zh-CN"/>
        </w:rPr>
        <w:t>主体培育。高寒棚圈、游牧帐篷、家庭牧场以奖代补，扶持新型经营主体做大做强。</w:t>
      </w:r>
    </w:p>
    <w:p w14:paraId="478B35BB">
      <w:pPr>
        <w:pStyle w:val="29"/>
        <w:spacing w:line="576" w:lineRule="exact"/>
        <w:ind w:firstLine="640" w:firstLineChars="200"/>
        <w:jc w:val="both"/>
        <w:outlineLvl w:val="2"/>
        <w:rPr>
          <w:rFonts w:ascii="Times New Roman" w:hAnsi="Times New Roman" w:eastAsia="方正仿宋简体" w:cs="方正仿宋简体"/>
          <w:bCs/>
          <w:sz w:val="32"/>
          <w:szCs w:val="28"/>
          <w:lang w:eastAsia="zh-CN"/>
        </w:rPr>
      </w:pPr>
      <w:bookmarkStart w:id="192" w:name="_Toc243241457"/>
      <w:bookmarkStart w:id="193" w:name="OLE_LINK54"/>
      <w:r>
        <w:rPr>
          <w:rFonts w:hint="eastAsia" w:ascii="Times New Roman" w:hAnsi="Times New Roman" w:eastAsia="方正仿宋简体" w:cs="方正仿宋简体"/>
          <w:bCs/>
          <w:sz w:val="32"/>
          <w:szCs w:val="28"/>
          <w:lang w:eastAsia="zh-CN"/>
        </w:rPr>
        <w:t>4</w:t>
      </w:r>
      <w:r>
        <w:rPr>
          <w:rFonts w:hint="eastAsia" w:ascii="Times New Roman" w:hAnsi="Times New Roman" w:eastAsia="方正仿宋简体" w:cs="方正仿宋简体"/>
          <w:bCs/>
          <w:sz w:val="32"/>
          <w:szCs w:val="28"/>
          <w:lang w:val="en-US"/>
        </w:rPr>
        <w:t>．</w:t>
      </w:r>
      <w:r>
        <w:rPr>
          <w:rFonts w:hint="eastAsia" w:ascii="Times New Roman" w:hAnsi="Times New Roman" w:eastAsia="方正仿宋简体" w:cs="方正仿宋简体"/>
          <w:bCs/>
          <w:sz w:val="32"/>
          <w:szCs w:val="28"/>
          <w:lang w:eastAsia="zh-CN"/>
        </w:rPr>
        <w:t>竞争力</w:t>
      </w:r>
      <w:bookmarkEnd w:id="192"/>
    </w:p>
    <w:p w14:paraId="42991BAD">
      <w:pPr>
        <w:pStyle w:val="29"/>
        <w:spacing w:line="576" w:lineRule="exact"/>
        <w:ind w:firstLine="643" w:firstLineChars="200"/>
        <w:jc w:val="both"/>
        <w:rPr>
          <w:rFonts w:ascii="Times New Roman" w:hAnsi="Times New Roman" w:eastAsia="方正仿宋简体" w:cs="方正仿宋简体"/>
          <w:bCs/>
          <w:sz w:val="32"/>
          <w:szCs w:val="28"/>
          <w:lang w:eastAsia="zh-CN"/>
        </w:rPr>
      </w:pPr>
      <w:r>
        <w:rPr>
          <w:rFonts w:hint="eastAsia" w:ascii="Times New Roman" w:hAnsi="Times New Roman" w:eastAsia="方正仿宋简体" w:cs="方正仿宋简体"/>
          <w:b/>
          <w:sz w:val="32"/>
          <w:szCs w:val="28"/>
          <w:lang w:val="en-US" w:eastAsia="zh-CN"/>
        </w:rPr>
        <w:t>一是</w:t>
      </w:r>
      <w:r>
        <w:rPr>
          <w:rFonts w:hint="eastAsia" w:ascii="Times New Roman" w:hAnsi="Times New Roman" w:eastAsia="方正仿宋简体" w:cs="方正仿宋简体"/>
          <w:bCs/>
          <w:sz w:val="32"/>
          <w:szCs w:val="28"/>
          <w:lang w:eastAsia="zh-CN"/>
        </w:rPr>
        <w:t>产品力。牦牛肉肉质</w:t>
      </w:r>
      <w:r>
        <w:rPr>
          <w:rFonts w:ascii="Times New Roman" w:hAnsi="Times New Roman" w:eastAsia="方正仿宋简体" w:cs="方正仿宋简体"/>
          <w:bCs/>
          <w:sz w:val="32"/>
          <w:szCs w:val="28"/>
          <w:lang w:eastAsia="zh-CN"/>
        </w:rPr>
        <w:t>紧实醇厚</w:t>
      </w:r>
      <w:r>
        <w:rPr>
          <w:rFonts w:hint="eastAsia" w:ascii="Times New Roman" w:hAnsi="Times New Roman" w:eastAsia="方正仿宋简体" w:cs="方正仿宋简体"/>
          <w:bCs/>
          <w:sz w:val="32"/>
          <w:szCs w:val="28"/>
          <w:lang w:eastAsia="zh-CN"/>
        </w:rPr>
        <w:t>、富含亚油酸等不饱和脂肪酸，羊肉</w:t>
      </w:r>
      <w:r>
        <w:rPr>
          <w:rFonts w:ascii="Times New Roman" w:hAnsi="Times New Roman" w:eastAsia="方正仿宋简体" w:cs="方正仿宋简体"/>
          <w:bCs/>
          <w:sz w:val="32"/>
          <w:szCs w:val="28"/>
          <w:lang w:eastAsia="zh-CN"/>
        </w:rPr>
        <w:t>肌纤维细腻、肉质细嫩鲜香</w:t>
      </w:r>
      <w:r>
        <w:rPr>
          <w:rFonts w:hint="eastAsia" w:ascii="Times New Roman" w:hAnsi="Times New Roman" w:eastAsia="方正仿宋简体" w:cs="方正仿宋简体"/>
          <w:bCs/>
          <w:sz w:val="32"/>
          <w:szCs w:val="28"/>
          <w:lang w:eastAsia="zh-CN"/>
        </w:rPr>
        <w:t>，奶品风味独特，有机认证加持，差异化显著；</w:t>
      </w:r>
      <w:bookmarkEnd w:id="193"/>
      <w:r>
        <w:rPr>
          <w:rFonts w:hint="eastAsia" w:ascii="Times New Roman" w:hAnsi="Times New Roman" w:eastAsia="方正仿宋简体" w:cs="方正仿宋简体"/>
          <w:b/>
          <w:sz w:val="32"/>
          <w:szCs w:val="28"/>
          <w:lang w:val="en-US" w:eastAsia="zh-CN"/>
        </w:rPr>
        <w:t>二是</w:t>
      </w:r>
      <w:r>
        <w:rPr>
          <w:rFonts w:hint="eastAsia" w:ascii="Times New Roman" w:hAnsi="Times New Roman" w:eastAsia="方正仿宋简体" w:cs="方正仿宋简体"/>
          <w:bCs/>
          <w:sz w:val="32"/>
          <w:szCs w:val="28"/>
          <w:lang w:eastAsia="zh-CN"/>
        </w:rPr>
        <w:t>品牌力。地理标志与区域公共品牌叠加，“那曲牦牛”“安多绵羊”等认可度高；</w:t>
      </w:r>
      <w:r>
        <w:rPr>
          <w:rFonts w:hint="eastAsia" w:ascii="Times New Roman" w:hAnsi="Times New Roman" w:eastAsia="方正仿宋简体" w:cs="方正仿宋简体"/>
          <w:b/>
          <w:sz w:val="32"/>
          <w:szCs w:val="28"/>
          <w:lang w:val="en-US" w:eastAsia="zh-CN"/>
        </w:rPr>
        <w:t>三是</w:t>
      </w:r>
      <w:r>
        <w:rPr>
          <w:rFonts w:hint="eastAsia" w:ascii="Times New Roman" w:hAnsi="Times New Roman" w:eastAsia="方正仿宋简体" w:cs="方正仿宋简体"/>
          <w:bCs/>
          <w:sz w:val="32"/>
          <w:szCs w:val="28"/>
          <w:lang w:eastAsia="zh-CN"/>
        </w:rPr>
        <w:t>组织力。</w:t>
      </w:r>
      <w:bookmarkStart w:id="194" w:name="OLE_LINK103"/>
      <w:r>
        <w:rPr>
          <w:rFonts w:hint="eastAsia" w:ascii="Times New Roman" w:hAnsi="Times New Roman" w:eastAsia="方正仿宋简体" w:cs="方正仿宋简体"/>
          <w:bCs/>
          <w:sz w:val="32"/>
          <w:szCs w:val="28"/>
          <w:lang w:eastAsia="zh-CN"/>
        </w:rPr>
        <w:t>“</w:t>
      </w:r>
      <w:bookmarkStart w:id="195" w:name="OLE_LINK102"/>
      <w:r>
        <w:rPr>
          <w:rFonts w:hint="eastAsia" w:ascii="Times New Roman" w:hAnsi="Times New Roman" w:eastAsia="方正仿宋简体" w:cs="方正仿宋简体"/>
          <w:bCs/>
          <w:sz w:val="32"/>
          <w:szCs w:val="28"/>
          <w:lang w:eastAsia="zh-CN"/>
        </w:rPr>
        <w:t>龙头</w:t>
      </w:r>
      <w:bookmarkStart w:id="196" w:name="OLE_LINK126"/>
      <w:r>
        <w:rPr>
          <w:rFonts w:hint="eastAsia" w:ascii="Times New Roman" w:hAnsi="Times New Roman" w:eastAsia="方正仿宋简体" w:cs="方正仿宋简体"/>
          <w:bCs/>
          <w:sz w:val="32"/>
          <w:szCs w:val="28"/>
          <w:lang w:eastAsia="zh-CN"/>
        </w:rPr>
        <w:t>企业+合作社</w:t>
      </w:r>
      <w:bookmarkEnd w:id="196"/>
      <w:r>
        <w:rPr>
          <w:rFonts w:hint="eastAsia" w:ascii="Times New Roman" w:hAnsi="Times New Roman" w:eastAsia="方正仿宋简体" w:cs="方正仿宋简体"/>
          <w:bCs/>
          <w:sz w:val="32"/>
          <w:szCs w:val="28"/>
          <w:lang w:eastAsia="zh-CN"/>
        </w:rPr>
        <w:t>+家庭牧场+牧户</w:t>
      </w:r>
      <w:bookmarkEnd w:id="195"/>
      <w:r>
        <w:rPr>
          <w:rFonts w:hint="eastAsia" w:ascii="Times New Roman" w:hAnsi="Times New Roman" w:eastAsia="方正仿宋简体" w:cs="方正仿宋简体"/>
          <w:bCs/>
          <w:sz w:val="32"/>
          <w:szCs w:val="28"/>
          <w:lang w:eastAsia="zh-CN"/>
        </w:rPr>
        <w:t>”利益联结紧密，规模化与标准化水平提升</w:t>
      </w:r>
      <w:bookmarkEnd w:id="194"/>
      <w:r>
        <w:rPr>
          <w:rFonts w:hint="eastAsia" w:ascii="Times New Roman" w:hAnsi="Times New Roman" w:eastAsia="方正仿宋简体" w:cs="方正仿宋简体"/>
          <w:bCs/>
          <w:sz w:val="32"/>
          <w:szCs w:val="28"/>
          <w:lang w:eastAsia="zh-CN"/>
        </w:rPr>
        <w:t>；</w:t>
      </w:r>
      <w:r>
        <w:rPr>
          <w:rFonts w:hint="eastAsia" w:ascii="Times New Roman" w:hAnsi="Times New Roman" w:eastAsia="方正仿宋简体" w:cs="方正仿宋简体"/>
          <w:b/>
          <w:sz w:val="32"/>
          <w:szCs w:val="28"/>
          <w:lang w:val="en-US" w:eastAsia="zh-CN"/>
        </w:rPr>
        <w:t>四是</w:t>
      </w:r>
      <w:r>
        <w:rPr>
          <w:rFonts w:hint="eastAsia" w:ascii="Times New Roman" w:hAnsi="Times New Roman" w:eastAsia="方正仿宋简体" w:cs="方正仿宋简体"/>
          <w:bCs/>
          <w:sz w:val="32"/>
          <w:szCs w:val="28"/>
          <w:lang w:eastAsia="zh-CN"/>
        </w:rPr>
        <w:t>科技力。与科研机构合作，牦牛保纯提质、一年一胎试验成功率86</w:t>
      </w:r>
      <w:r>
        <w:rPr>
          <w:rFonts w:hint="eastAsia" w:ascii="Times New Roman" w:hAnsi="Times New Roman" w:eastAsia="方正仿宋简体" w:cs="方正仿宋简体"/>
          <w:bCs/>
          <w:sz w:val="32"/>
          <w:szCs w:val="28"/>
          <w:lang w:val="en-US" w:eastAsia="zh-CN"/>
        </w:rPr>
        <w:t>.</w:t>
      </w:r>
      <w:r>
        <w:rPr>
          <w:rFonts w:hint="eastAsia" w:ascii="Times New Roman" w:hAnsi="Times New Roman" w:eastAsia="方正仿宋简体" w:cs="方正仿宋简体"/>
          <w:bCs/>
          <w:sz w:val="32"/>
          <w:szCs w:val="28"/>
          <w:lang w:eastAsia="zh-CN"/>
        </w:rPr>
        <w:t>21%，产犊年龄提前至2</w:t>
      </w:r>
      <w:r>
        <w:rPr>
          <w:rFonts w:hint="eastAsia" w:ascii="Times New Roman" w:hAnsi="Times New Roman" w:eastAsia="方正仿宋简体" w:cs="方正仿宋简体"/>
          <w:bCs/>
          <w:sz w:val="32"/>
          <w:szCs w:val="28"/>
          <w:lang w:val="en-US" w:eastAsia="zh-CN"/>
        </w:rPr>
        <w:t>.</w:t>
      </w:r>
      <w:r>
        <w:rPr>
          <w:rFonts w:hint="eastAsia" w:ascii="Times New Roman" w:hAnsi="Times New Roman" w:eastAsia="方正仿宋简体" w:cs="方正仿宋简体"/>
          <w:bCs/>
          <w:sz w:val="32"/>
          <w:szCs w:val="28"/>
          <w:lang w:eastAsia="zh-CN"/>
        </w:rPr>
        <w:t>5岁，效率提升明显。</w:t>
      </w:r>
    </w:p>
    <w:p w14:paraId="06C7A666">
      <w:pPr>
        <w:pStyle w:val="29"/>
        <w:spacing w:line="576" w:lineRule="exact"/>
        <w:ind w:firstLine="640" w:firstLineChars="200"/>
        <w:jc w:val="both"/>
        <w:outlineLvl w:val="2"/>
        <w:rPr>
          <w:rFonts w:ascii="Times New Roman" w:hAnsi="Times New Roman" w:eastAsia="方正仿宋简体" w:cs="方正仿宋简体"/>
          <w:bCs/>
          <w:sz w:val="32"/>
          <w:szCs w:val="28"/>
          <w:lang w:eastAsia="zh-CN"/>
        </w:rPr>
      </w:pPr>
      <w:bookmarkStart w:id="197" w:name="_Toc243241458"/>
      <w:r>
        <w:rPr>
          <w:rFonts w:hint="eastAsia" w:ascii="Times New Roman" w:hAnsi="Times New Roman" w:eastAsia="方正仿宋简体" w:cs="方正仿宋简体"/>
          <w:bCs/>
          <w:sz w:val="32"/>
          <w:szCs w:val="28"/>
          <w:lang w:eastAsia="zh-CN"/>
        </w:rPr>
        <w:t>5</w:t>
      </w:r>
      <w:r>
        <w:rPr>
          <w:rFonts w:hint="eastAsia" w:ascii="Times New Roman" w:hAnsi="Times New Roman" w:eastAsia="方正仿宋简体" w:cs="方正仿宋简体"/>
          <w:bCs/>
          <w:sz w:val="32"/>
          <w:szCs w:val="28"/>
          <w:lang w:val="en-US"/>
        </w:rPr>
        <w:t>．</w:t>
      </w:r>
      <w:r>
        <w:rPr>
          <w:rFonts w:hint="eastAsia" w:ascii="Times New Roman" w:hAnsi="Times New Roman" w:eastAsia="方正仿宋简体" w:cs="方正仿宋简体"/>
          <w:bCs/>
          <w:sz w:val="32"/>
          <w:szCs w:val="28"/>
          <w:lang w:eastAsia="zh-CN"/>
        </w:rPr>
        <w:t>发展潜力</w:t>
      </w:r>
      <w:bookmarkEnd w:id="197"/>
    </w:p>
    <w:p w14:paraId="344755C5">
      <w:pPr>
        <w:pStyle w:val="29"/>
        <w:spacing w:line="576" w:lineRule="exact"/>
        <w:ind w:firstLine="643" w:firstLineChars="200"/>
        <w:jc w:val="both"/>
        <w:rPr>
          <w:rFonts w:ascii="Times New Roman" w:hAnsi="Times New Roman" w:eastAsia="方正仿宋简体" w:cs="方正仿宋简体"/>
          <w:bCs/>
          <w:sz w:val="32"/>
          <w:szCs w:val="28"/>
          <w:lang w:eastAsia="zh-CN"/>
        </w:rPr>
      </w:pPr>
      <w:r>
        <w:rPr>
          <w:rFonts w:hint="eastAsia" w:ascii="Times New Roman" w:hAnsi="Times New Roman" w:eastAsia="方正仿宋简体" w:cs="方正仿宋简体"/>
          <w:b/>
          <w:sz w:val="32"/>
          <w:szCs w:val="28"/>
          <w:lang w:val="en-US" w:eastAsia="zh-CN"/>
        </w:rPr>
        <w:t>一是</w:t>
      </w:r>
      <w:r>
        <w:rPr>
          <w:rFonts w:hint="eastAsia" w:ascii="Times New Roman" w:hAnsi="Times New Roman" w:eastAsia="方正仿宋简体" w:cs="方正仿宋简体"/>
          <w:bCs/>
          <w:sz w:val="32"/>
          <w:szCs w:val="28"/>
          <w:lang w:eastAsia="zh-CN"/>
        </w:rPr>
        <w:t>产业链延伸。从屠宰、粗加工向肉干、乳制品、骨钙、绒毛制品等高附加值产品拓展，提升溢价空间；</w:t>
      </w:r>
      <w:r>
        <w:rPr>
          <w:rFonts w:hint="eastAsia" w:ascii="Times New Roman" w:hAnsi="Times New Roman" w:eastAsia="方正仿宋简体" w:cs="方正仿宋简体"/>
          <w:b/>
          <w:sz w:val="32"/>
          <w:szCs w:val="28"/>
          <w:lang w:val="en-US" w:eastAsia="zh-CN"/>
        </w:rPr>
        <w:t>二是</w:t>
      </w:r>
      <w:r>
        <w:rPr>
          <w:rFonts w:hint="eastAsia" w:ascii="Times New Roman" w:hAnsi="Times New Roman" w:eastAsia="方正仿宋简体" w:cs="方正仿宋简体"/>
          <w:bCs/>
          <w:sz w:val="32"/>
          <w:szCs w:val="28"/>
          <w:lang w:eastAsia="zh-CN"/>
        </w:rPr>
        <w:t>市场扩容。健康消费升级，天然有机畜产品需求增长，那曲产品适配中高端市场，出口潜力大；</w:t>
      </w:r>
      <w:r>
        <w:rPr>
          <w:rFonts w:hint="eastAsia" w:ascii="Times New Roman" w:hAnsi="Times New Roman" w:eastAsia="方正仿宋简体" w:cs="方正仿宋简体"/>
          <w:b/>
          <w:sz w:val="32"/>
          <w:szCs w:val="28"/>
          <w:lang w:val="en-US" w:eastAsia="zh-CN"/>
        </w:rPr>
        <w:t>三是</w:t>
      </w:r>
      <w:r>
        <w:rPr>
          <w:rFonts w:hint="eastAsia" w:ascii="Times New Roman" w:hAnsi="Times New Roman" w:eastAsia="方正仿宋简体" w:cs="方正仿宋简体"/>
          <w:bCs/>
          <w:sz w:val="32"/>
          <w:szCs w:val="28"/>
          <w:lang w:eastAsia="zh-CN"/>
        </w:rPr>
        <w:t>三产融合。生态畜牧+草原旅游+游牧文化，打造观光、体验、文创一体化业态；</w:t>
      </w:r>
      <w:r>
        <w:rPr>
          <w:rFonts w:hint="eastAsia" w:ascii="Times New Roman" w:hAnsi="Times New Roman" w:eastAsia="方正仿宋简体" w:cs="方正仿宋简体"/>
          <w:b/>
          <w:sz w:val="32"/>
          <w:szCs w:val="28"/>
          <w:lang w:val="en-US" w:eastAsia="zh-CN"/>
        </w:rPr>
        <w:t>四是</w:t>
      </w:r>
      <w:r>
        <w:rPr>
          <w:rFonts w:hint="eastAsia" w:ascii="Times New Roman" w:hAnsi="Times New Roman" w:eastAsia="方正仿宋简体" w:cs="方正仿宋简体"/>
          <w:bCs/>
          <w:sz w:val="32"/>
          <w:szCs w:val="28"/>
          <w:lang w:eastAsia="zh-CN"/>
        </w:rPr>
        <w:t>科技赋能。良种繁育、智慧牧场、冷链物流升级，降低成本、提升品质与稳定性；</w:t>
      </w:r>
      <w:r>
        <w:rPr>
          <w:rFonts w:hint="eastAsia" w:ascii="Times New Roman" w:hAnsi="Times New Roman" w:eastAsia="方正仿宋简体" w:cs="方正仿宋简体"/>
          <w:b/>
          <w:sz w:val="32"/>
          <w:szCs w:val="28"/>
          <w:lang w:val="en-US" w:eastAsia="zh-CN"/>
        </w:rPr>
        <w:t>五是</w:t>
      </w:r>
      <w:r>
        <w:rPr>
          <w:rFonts w:hint="eastAsia" w:ascii="Times New Roman" w:hAnsi="Times New Roman" w:eastAsia="方正仿宋简体" w:cs="方正仿宋简体"/>
          <w:bCs/>
          <w:sz w:val="32"/>
          <w:szCs w:val="28"/>
          <w:lang w:eastAsia="zh-CN"/>
        </w:rPr>
        <w:t>政策红利。国家生态安全屏障建设、乡村振兴持续投入，资金与项目支持力度不减。</w:t>
      </w:r>
    </w:p>
    <w:p w14:paraId="2FB241AE">
      <w:pPr>
        <w:spacing w:line="576" w:lineRule="exact"/>
        <w:ind w:firstLine="640" w:firstLineChars="200"/>
        <w:jc w:val="both"/>
        <w:rPr>
          <w:rFonts w:ascii="Times New Roman" w:hAnsi="Times New Roman" w:eastAsia="方正仿宋简体" w:cs="方正仿宋简体"/>
          <w:bCs/>
          <w:sz w:val="32"/>
          <w:szCs w:val="28"/>
          <w:lang w:eastAsia="zh-CN"/>
        </w:rPr>
      </w:pPr>
      <w:r>
        <w:rPr>
          <w:rFonts w:hint="eastAsia" w:ascii="Times New Roman" w:hAnsi="Times New Roman" w:eastAsia="方正仿宋简体" w:cs="方正仿宋简体"/>
          <w:bCs/>
          <w:sz w:val="32"/>
          <w:szCs w:val="28"/>
          <w:lang w:eastAsia="zh-CN"/>
        </w:rPr>
        <w:t>那曲高原特色畜牧业以资源禀赋为根基、政策托底为保障、产业集群为支撑，具备差异化竞争力与长期增长潜力。未来需持续强化品牌建设、科技研发与生态保护，推动从“生态优势”向“经济优势”高效转化。</w:t>
      </w:r>
    </w:p>
    <w:p w14:paraId="648E8541">
      <w:pPr>
        <w:spacing w:line="576" w:lineRule="exact"/>
        <w:jc w:val="center"/>
        <w:rPr>
          <w:rFonts w:ascii="Times New Roman" w:hAnsi="Times New Roman" w:eastAsia="方正仿宋简体" w:cs="方正仿宋简体"/>
          <w:b/>
          <w:sz w:val="32"/>
          <w:szCs w:val="28"/>
          <w:lang w:eastAsia="zh-CN"/>
        </w:rPr>
      </w:pPr>
      <w:r>
        <w:rPr>
          <w:rFonts w:hint="eastAsia" w:ascii="Times New Roman" w:hAnsi="Times New Roman" w:eastAsia="方正仿宋简体" w:cs="方正仿宋简体"/>
          <w:b/>
          <w:sz w:val="32"/>
          <w:szCs w:val="28"/>
          <w:lang w:eastAsia="zh-CN"/>
        </w:rPr>
        <w:t>那曲市高原特色畜牧业核心数据清单</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7"/>
        <w:gridCol w:w="1182"/>
        <w:gridCol w:w="4030"/>
        <w:gridCol w:w="2706"/>
      </w:tblGrid>
      <w:tr w14:paraId="2AF89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918" w:type="dxa"/>
            <w:vAlign w:val="center"/>
          </w:tcPr>
          <w:p w14:paraId="4A9AEEAC">
            <w:pPr>
              <w:spacing w:line="270"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类别</w:t>
            </w:r>
          </w:p>
        </w:tc>
        <w:tc>
          <w:tcPr>
            <w:tcW w:w="1182" w:type="dxa"/>
            <w:vAlign w:val="center"/>
          </w:tcPr>
          <w:p w14:paraId="34C31114">
            <w:pPr>
              <w:spacing w:line="270"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核心指标</w:t>
            </w:r>
          </w:p>
        </w:tc>
        <w:tc>
          <w:tcPr>
            <w:tcW w:w="4031" w:type="dxa"/>
            <w:vAlign w:val="center"/>
          </w:tcPr>
          <w:p w14:paraId="3A7308E1">
            <w:pPr>
              <w:spacing w:line="270"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具体内容</w:t>
            </w:r>
          </w:p>
        </w:tc>
        <w:tc>
          <w:tcPr>
            <w:tcW w:w="2707" w:type="dxa"/>
            <w:vAlign w:val="center"/>
          </w:tcPr>
          <w:p w14:paraId="6A2866B1">
            <w:pPr>
              <w:spacing w:line="270"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关键价值</w:t>
            </w:r>
          </w:p>
        </w:tc>
      </w:tr>
      <w:tr w14:paraId="5E08E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918" w:type="dxa"/>
            <w:vMerge w:val="restart"/>
            <w:vAlign w:val="center"/>
          </w:tcPr>
          <w:p w14:paraId="1D7A09A2">
            <w:pPr>
              <w:widowControl/>
              <w:spacing w:line="270" w:lineRule="exact"/>
              <w:jc w:val="center"/>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资源优势</w:t>
            </w:r>
          </w:p>
        </w:tc>
        <w:tc>
          <w:tcPr>
            <w:tcW w:w="1182" w:type="dxa"/>
            <w:vAlign w:val="center"/>
          </w:tcPr>
          <w:p w14:paraId="6DD04864">
            <w:pPr>
              <w:widowControl/>
              <w:spacing w:line="270" w:lineRule="exact"/>
              <w:jc w:val="center"/>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草场规模</w:t>
            </w:r>
          </w:p>
        </w:tc>
        <w:tc>
          <w:tcPr>
            <w:tcW w:w="4031" w:type="dxa"/>
            <w:vAlign w:val="center"/>
          </w:tcPr>
          <w:p w14:paraId="6A761B89">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val="en-US" w:eastAsia="zh-CN"/>
              </w:rPr>
              <w:t>全市可利用草场面积</w:t>
            </w:r>
            <w:bookmarkStart w:id="198" w:name="OLE_LINK55"/>
            <w:r>
              <w:rPr>
                <w:rFonts w:hint="eastAsia" w:ascii="Times New Roman" w:hAnsi="Times New Roman" w:eastAsia="方正仿宋简体" w:cs="方正仿宋简体"/>
                <w:bCs/>
                <w:sz w:val="21"/>
                <w:szCs w:val="21"/>
                <w:lang w:eastAsia="zh-CN"/>
              </w:rPr>
              <w:t>4.48亿亩</w:t>
            </w:r>
            <w:bookmarkEnd w:id="198"/>
            <w:r>
              <w:rPr>
                <w:rFonts w:hint="eastAsia" w:ascii="Times New Roman" w:hAnsi="Times New Roman" w:eastAsia="方正仿宋简体" w:cs="方正仿宋简体"/>
                <w:bCs/>
                <w:sz w:val="21"/>
                <w:szCs w:val="21"/>
                <w:lang w:eastAsia="zh-CN"/>
              </w:rPr>
              <w:t>，占</w:t>
            </w:r>
            <w:r>
              <w:rPr>
                <w:rFonts w:hint="eastAsia" w:ascii="Times New Roman" w:hAnsi="Times New Roman" w:eastAsia="方正仿宋简体" w:cs="方正仿宋简体"/>
                <w:bCs/>
                <w:sz w:val="21"/>
                <w:szCs w:val="21"/>
                <w:lang w:val="en-US" w:eastAsia="zh-CN"/>
              </w:rPr>
              <w:t>全区的</w:t>
            </w:r>
            <w:r>
              <w:rPr>
                <w:rFonts w:hint="eastAsia" w:ascii="Times New Roman" w:hAnsi="Times New Roman" w:eastAsia="方正仿宋简体" w:cs="方正仿宋简体"/>
                <w:bCs/>
                <w:sz w:val="21"/>
                <w:szCs w:val="21"/>
                <w:lang w:eastAsia="zh-CN"/>
              </w:rPr>
              <w:t>37.3%；第四轮核定载畜量1526.95</w:t>
            </w:r>
            <w:r>
              <w:rPr>
                <w:rFonts w:ascii="Times New Roman" w:hAnsi="Times New Roman" w:eastAsia="方正仿宋简体" w:cs="方正仿宋简体"/>
                <w:bCs/>
                <w:sz w:val="21"/>
                <w:szCs w:val="21"/>
                <w:lang w:eastAsia="zh-CN"/>
              </w:rPr>
              <w:t>万个</w:t>
            </w:r>
            <w:r>
              <w:rPr>
                <w:rFonts w:hint="eastAsia" w:ascii="Times New Roman" w:hAnsi="Times New Roman" w:eastAsia="方正仿宋简体" w:cs="方正仿宋简体"/>
                <w:bCs/>
                <w:sz w:val="21"/>
                <w:szCs w:val="21"/>
                <w:lang w:eastAsia="zh-CN"/>
              </w:rPr>
              <w:t>绵羊单位。</w:t>
            </w:r>
          </w:p>
        </w:tc>
        <w:tc>
          <w:tcPr>
            <w:tcW w:w="2707" w:type="dxa"/>
            <w:vAlign w:val="center"/>
          </w:tcPr>
          <w:p w14:paraId="500B56AC">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西藏最大天然牧场，养殖基础雄厚。</w:t>
            </w:r>
          </w:p>
        </w:tc>
      </w:tr>
      <w:tr w14:paraId="62A2D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trPr>
        <w:tc>
          <w:tcPr>
            <w:tcW w:w="918" w:type="dxa"/>
            <w:vMerge w:val="continue"/>
            <w:vAlign w:val="center"/>
          </w:tcPr>
          <w:p w14:paraId="159F03D1">
            <w:pPr>
              <w:widowControl/>
              <w:spacing w:line="270" w:lineRule="exact"/>
              <w:jc w:val="center"/>
              <w:rPr>
                <w:rFonts w:ascii="Times New Roman" w:hAnsi="Times New Roman" w:eastAsia="方正仿宋简体" w:cs="方正仿宋简体"/>
                <w:bCs/>
                <w:sz w:val="21"/>
                <w:szCs w:val="21"/>
                <w:lang w:eastAsia="zh-CN"/>
              </w:rPr>
            </w:pPr>
          </w:p>
        </w:tc>
        <w:tc>
          <w:tcPr>
            <w:tcW w:w="1182" w:type="dxa"/>
            <w:vAlign w:val="center"/>
          </w:tcPr>
          <w:p w14:paraId="106235A8">
            <w:pPr>
              <w:widowControl/>
              <w:spacing w:line="270" w:lineRule="exact"/>
              <w:jc w:val="center"/>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优质畜种</w:t>
            </w:r>
          </w:p>
        </w:tc>
        <w:tc>
          <w:tcPr>
            <w:tcW w:w="4031" w:type="dxa"/>
            <w:vAlign w:val="center"/>
          </w:tcPr>
          <w:p w14:paraId="22B12182">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8个地方优良品种，4个入国家畜禽遗传资源名录。</w:t>
            </w:r>
          </w:p>
        </w:tc>
        <w:tc>
          <w:tcPr>
            <w:tcW w:w="2707" w:type="dxa"/>
            <w:vAlign w:val="center"/>
          </w:tcPr>
          <w:p w14:paraId="005F49E7">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中国牦牛种质资源核心保护区。</w:t>
            </w:r>
          </w:p>
        </w:tc>
      </w:tr>
      <w:tr w14:paraId="680B3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trPr>
        <w:tc>
          <w:tcPr>
            <w:tcW w:w="918" w:type="dxa"/>
            <w:vMerge w:val="continue"/>
            <w:vAlign w:val="center"/>
          </w:tcPr>
          <w:p w14:paraId="1BF67325">
            <w:pPr>
              <w:widowControl/>
              <w:spacing w:line="270" w:lineRule="exact"/>
              <w:jc w:val="center"/>
              <w:rPr>
                <w:rFonts w:ascii="Times New Roman" w:hAnsi="Times New Roman" w:eastAsia="方正仿宋简体" w:cs="方正仿宋简体"/>
                <w:bCs/>
                <w:sz w:val="21"/>
                <w:szCs w:val="21"/>
                <w:lang w:eastAsia="zh-CN"/>
              </w:rPr>
            </w:pPr>
          </w:p>
        </w:tc>
        <w:tc>
          <w:tcPr>
            <w:tcW w:w="1182" w:type="dxa"/>
            <w:vAlign w:val="center"/>
          </w:tcPr>
          <w:p w14:paraId="58AC0637">
            <w:pPr>
              <w:widowControl/>
              <w:spacing w:line="270" w:lineRule="exact"/>
              <w:jc w:val="center"/>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生态禀赋</w:t>
            </w:r>
          </w:p>
        </w:tc>
        <w:tc>
          <w:tcPr>
            <w:tcW w:w="4031" w:type="dxa"/>
            <w:vAlign w:val="center"/>
          </w:tcPr>
          <w:p w14:paraId="5A775986">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空气优良天数99%以上，天然有机属性。</w:t>
            </w:r>
          </w:p>
        </w:tc>
        <w:tc>
          <w:tcPr>
            <w:tcW w:w="2707" w:type="dxa"/>
            <w:vAlign w:val="center"/>
          </w:tcPr>
          <w:p w14:paraId="2FB258F3">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契合高端健康消费市场需求。</w:t>
            </w:r>
          </w:p>
        </w:tc>
      </w:tr>
      <w:tr w14:paraId="3C5F5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trPr>
        <w:tc>
          <w:tcPr>
            <w:tcW w:w="918" w:type="dxa"/>
            <w:vMerge w:val="restart"/>
            <w:vAlign w:val="center"/>
          </w:tcPr>
          <w:p w14:paraId="108A0E08">
            <w:pPr>
              <w:widowControl/>
              <w:spacing w:line="270" w:lineRule="exact"/>
              <w:jc w:val="center"/>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产业环境</w:t>
            </w:r>
          </w:p>
        </w:tc>
        <w:tc>
          <w:tcPr>
            <w:tcW w:w="1182" w:type="dxa"/>
            <w:vAlign w:val="center"/>
          </w:tcPr>
          <w:p w14:paraId="1B490F31">
            <w:pPr>
              <w:widowControl/>
              <w:spacing w:line="270" w:lineRule="exact"/>
              <w:jc w:val="center"/>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经营主体</w:t>
            </w:r>
          </w:p>
        </w:tc>
        <w:tc>
          <w:tcPr>
            <w:tcW w:w="4031" w:type="dxa"/>
            <w:vAlign w:val="center"/>
          </w:tcPr>
          <w:p w14:paraId="5CD88CD0">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1个国家级农牧业园区；3家自治区级、19家市级龙头企业；16</w:t>
            </w:r>
            <w:r>
              <w:rPr>
                <w:rFonts w:hint="eastAsia" w:ascii="Times New Roman" w:hAnsi="Times New Roman" w:eastAsia="方正仿宋简体" w:cs="方正仿宋简体"/>
                <w:bCs/>
                <w:sz w:val="21"/>
                <w:szCs w:val="21"/>
                <w:lang w:val="en-US" w:eastAsia="zh-CN"/>
              </w:rPr>
              <w:t>1</w:t>
            </w:r>
            <w:r>
              <w:rPr>
                <w:rFonts w:hint="eastAsia" w:ascii="Times New Roman" w:hAnsi="Times New Roman" w:eastAsia="方正仿宋简体" w:cs="方正仿宋简体"/>
                <w:bCs/>
                <w:sz w:val="21"/>
                <w:szCs w:val="21"/>
                <w:lang w:eastAsia="zh-CN"/>
              </w:rPr>
              <w:t>6家合作社。</w:t>
            </w:r>
          </w:p>
        </w:tc>
        <w:tc>
          <w:tcPr>
            <w:tcW w:w="2707" w:type="dxa"/>
            <w:vAlign w:val="center"/>
          </w:tcPr>
          <w:p w14:paraId="7A9EE25F">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w:t>
            </w:r>
            <w:bookmarkStart w:id="199" w:name="OLE_LINK57"/>
            <w:r>
              <w:rPr>
                <w:rFonts w:hint="eastAsia" w:ascii="Times New Roman" w:hAnsi="Times New Roman" w:eastAsia="方正仿宋简体" w:cs="方正仿宋简体"/>
                <w:bCs/>
                <w:sz w:val="21"/>
                <w:szCs w:val="21"/>
                <w:lang w:eastAsia="zh-CN"/>
              </w:rPr>
              <w:t>龙头</w:t>
            </w:r>
            <w:bookmarkEnd w:id="199"/>
            <w:r>
              <w:rPr>
                <w:rFonts w:hint="eastAsia" w:ascii="Times New Roman" w:hAnsi="Times New Roman" w:eastAsia="方正仿宋简体" w:cs="方正仿宋简体"/>
                <w:bCs/>
                <w:sz w:val="21"/>
                <w:szCs w:val="21"/>
                <w:lang w:eastAsia="zh-CN"/>
              </w:rPr>
              <w:t>企业+合作社+家庭牧场+牧户”模式成熟。</w:t>
            </w:r>
          </w:p>
        </w:tc>
      </w:tr>
      <w:tr w14:paraId="31AC5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trPr>
        <w:tc>
          <w:tcPr>
            <w:tcW w:w="918" w:type="dxa"/>
            <w:vMerge w:val="continue"/>
            <w:vAlign w:val="center"/>
          </w:tcPr>
          <w:p w14:paraId="3168F266">
            <w:pPr>
              <w:widowControl/>
              <w:spacing w:line="270" w:lineRule="exact"/>
              <w:jc w:val="center"/>
              <w:rPr>
                <w:rFonts w:ascii="Times New Roman" w:hAnsi="Times New Roman" w:eastAsia="方正仿宋简体" w:cs="方正仿宋简体"/>
                <w:bCs/>
                <w:sz w:val="21"/>
                <w:szCs w:val="21"/>
                <w:lang w:eastAsia="zh-CN"/>
              </w:rPr>
            </w:pPr>
          </w:p>
        </w:tc>
        <w:tc>
          <w:tcPr>
            <w:tcW w:w="1182" w:type="dxa"/>
            <w:vAlign w:val="center"/>
          </w:tcPr>
          <w:p w14:paraId="22280D1F">
            <w:pPr>
              <w:widowControl/>
              <w:spacing w:line="270" w:lineRule="exact"/>
              <w:jc w:val="center"/>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加工品牌</w:t>
            </w:r>
          </w:p>
        </w:tc>
        <w:tc>
          <w:tcPr>
            <w:tcW w:w="4031" w:type="dxa"/>
            <w:vAlign w:val="center"/>
          </w:tcPr>
          <w:p w14:paraId="758C1E79">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肉奶制品年销超3亿元；4个地理标志产品、18个地理标志证明商标。</w:t>
            </w:r>
          </w:p>
        </w:tc>
        <w:tc>
          <w:tcPr>
            <w:tcW w:w="2707" w:type="dxa"/>
            <w:vAlign w:val="center"/>
          </w:tcPr>
          <w:p w14:paraId="1B79FB59">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品牌溢价效应逐步显现。</w:t>
            </w:r>
          </w:p>
        </w:tc>
      </w:tr>
      <w:tr w14:paraId="33CFC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trPr>
        <w:tc>
          <w:tcPr>
            <w:tcW w:w="918" w:type="dxa"/>
            <w:vMerge w:val="continue"/>
            <w:vAlign w:val="center"/>
          </w:tcPr>
          <w:p w14:paraId="3B397EC3">
            <w:pPr>
              <w:widowControl/>
              <w:spacing w:line="270" w:lineRule="exact"/>
              <w:jc w:val="center"/>
              <w:rPr>
                <w:rFonts w:ascii="Times New Roman" w:hAnsi="Times New Roman" w:eastAsia="方正仿宋简体" w:cs="方正仿宋简体"/>
                <w:bCs/>
                <w:sz w:val="21"/>
                <w:szCs w:val="21"/>
                <w:lang w:eastAsia="zh-CN"/>
              </w:rPr>
            </w:pPr>
          </w:p>
        </w:tc>
        <w:tc>
          <w:tcPr>
            <w:tcW w:w="1182" w:type="dxa"/>
            <w:vAlign w:val="center"/>
          </w:tcPr>
          <w:p w14:paraId="27C0D9BB">
            <w:pPr>
              <w:widowControl/>
              <w:spacing w:line="270" w:lineRule="exact"/>
              <w:jc w:val="center"/>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养殖模式</w:t>
            </w:r>
          </w:p>
        </w:tc>
        <w:tc>
          <w:tcPr>
            <w:tcW w:w="4031" w:type="dxa"/>
            <w:vAlign w:val="center"/>
          </w:tcPr>
          <w:p w14:paraId="2C6D9B13">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年人工种草10万余亩；“四季轮牧+三季休牧”。</w:t>
            </w:r>
          </w:p>
        </w:tc>
        <w:tc>
          <w:tcPr>
            <w:tcW w:w="2707" w:type="dxa"/>
            <w:vAlign w:val="center"/>
          </w:tcPr>
          <w:p w14:paraId="03E2EDF7">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实现草畜平衡，保障可持续发展。</w:t>
            </w:r>
          </w:p>
        </w:tc>
      </w:tr>
      <w:tr w14:paraId="60B86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trPr>
        <w:tc>
          <w:tcPr>
            <w:tcW w:w="918" w:type="dxa"/>
            <w:vMerge w:val="restart"/>
            <w:vAlign w:val="center"/>
          </w:tcPr>
          <w:p w14:paraId="457EFDEB">
            <w:pPr>
              <w:widowControl/>
              <w:spacing w:line="270" w:lineRule="exact"/>
              <w:jc w:val="center"/>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政策支持</w:t>
            </w:r>
          </w:p>
        </w:tc>
        <w:tc>
          <w:tcPr>
            <w:tcW w:w="1182" w:type="dxa"/>
            <w:vAlign w:val="center"/>
          </w:tcPr>
          <w:p w14:paraId="33DFFEC8">
            <w:pPr>
              <w:widowControl/>
              <w:spacing w:line="270" w:lineRule="exact"/>
              <w:jc w:val="center"/>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核心方向</w:t>
            </w:r>
          </w:p>
        </w:tc>
        <w:tc>
          <w:tcPr>
            <w:tcW w:w="4031" w:type="dxa"/>
            <w:vAlign w:val="center"/>
          </w:tcPr>
          <w:p w14:paraId="333E1367">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打造“中国原生态牦牛之乡”，推进牦牛肉奶品牌保护立法。</w:t>
            </w:r>
          </w:p>
        </w:tc>
        <w:tc>
          <w:tcPr>
            <w:tcW w:w="2707" w:type="dxa"/>
            <w:vAlign w:val="center"/>
          </w:tcPr>
          <w:p w14:paraId="6F7B1A9A">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顶层设计明确产业发展路径。</w:t>
            </w:r>
          </w:p>
        </w:tc>
      </w:tr>
      <w:tr w14:paraId="648E4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trPr>
        <w:tc>
          <w:tcPr>
            <w:tcW w:w="918" w:type="dxa"/>
            <w:vMerge w:val="continue"/>
            <w:vAlign w:val="center"/>
          </w:tcPr>
          <w:p w14:paraId="1DEEA05F">
            <w:pPr>
              <w:widowControl/>
              <w:spacing w:line="270" w:lineRule="exact"/>
              <w:jc w:val="center"/>
              <w:rPr>
                <w:rFonts w:ascii="Times New Roman" w:hAnsi="Times New Roman" w:eastAsia="方正仿宋简体" w:cs="方正仿宋简体"/>
                <w:bCs/>
                <w:sz w:val="21"/>
                <w:szCs w:val="21"/>
                <w:lang w:eastAsia="zh-CN"/>
              </w:rPr>
            </w:pPr>
          </w:p>
        </w:tc>
        <w:tc>
          <w:tcPr>
            <w:tcW w:w="1182" w:type="dxa"/>
            <w:vAlign w:val="center"/>
          </w:tcPr>
          <w:p w14:paraId="668B1229">
            <w:pPr>
              <w:widowControl/>
              <w:spacing w:line="270" w:lineRule="exact"/>
              <w:jc w:val="center"/>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补贴覆盖</w:t>
            </w:r>
          </w:p>
        </w:tc>
        <w:tc>
          <w:tcPr>
            <w:tcW w:w="4031" w:type="dxa"/>
            <w:vAlign w:val="center"/>
          </w:tcPr>
          <w:p w14:paraId="00448AD6">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val="en-US" w:eastAsia="zh-CN"/>
              </w:rPr>
              <w:t>畜牧</w:t>
            </w:r>
            <w:r>
              <w:rPr>
                <w:rFonts w:hint="eastAsia" w:ascii="Times New Roman" w:hAnsi="Times New Roman" w:eastAsia="方正仿宋简体" w:cs="方正仿宋简体"/>
                <w:bCs/>
                <w:sz w:val="21"/>
                <w:szCs w:val="21"/>
                <w:lang w:eastAsia="zh-CN"/>
              </w:rPr>
              <w:t>良种奖补、</w:t>
            </w:r>
            <w:r>
              <w:rPr>
                <w:rFonts w:hint="eastAsia" w:ascii="Times New Roman" w:hAnsi="Times New Roman" w:eastAsia="方正仿宋简体" w:cs="方正仿宋简体"/>
                <w:bCs/>
                <w:sz w:val="21"/>
                <w:szCs w:val="21"/>
                <w:lang w:val="en-US" w:eastAsia="zh-CN"/>
              </w:rPr>
              <w:t>草原生态保护补助奖励政策</w:t>
            </w:r>
            <w:r>
              <w:rPr>
                <w:rFonts w:hint="eastAsia" w:ascii="Times New Roman" w:hAnsi="Times New Roman" w:eastAsia="方正仿宋简体" w:cs="方正仿宋简体"/>
                <w:bCs/>
                <w:sz w:val="21"/>
                <w:szCs w:val="21"/>
                <w:lang w:eastAsia="zh-CN"/>
              </w:rPr>
              <w:t>、棚圈建设补贴等全链条扶持。</w:t>
            </w:r>
          </w:p>
        </w:tc>
        <w:tc>
          <w:tcPr>
            <w:tcW w:w="2707" w:type="dxa"/>
            <w:vAlign w:val="center"/>
          </w:tcPr>
          <w:p w14:paraId="608EE259">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降低养殖成本，激发经营活力。</w:t>
            </w:r>
          </w:p>
        </w:tc>
      </w:tr>
      <w:tr w14:paraId="2E19D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trPr>
        <w:tc>
          <w:tcPr>
            <w:tcW w:w="918" w:type="dxa"/>
            <w:vMerge w:val="restart"/>
            <w:vAlign w:val="center"/>
          </w:tcPr>
          <w:p w14:paraId="41A39B56">
            <w:pPr>
              <w:widowControl/>
              <w:spacing w:line="270" w:lineRule="exact"/>
              <w:jc w:val="center"/>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竞争力</w:t>
            </w:r>
            <w:r>
              <w:rPr>
                <w:rFonts w:hint="eastAsia" w:ascii="Times New Roman" w:hAnsi="Times New Roman" w:eastAsia="方正仿宋简体" w:cs="方正仿宋简体"/>
                <w:bCs/>
                <w:sz w:val="21"/>
                <w:szCs w:val="21"/>
                <w:lang w:val="en-US" w:eastAsia="zh-CN"/>
              </w:rPr>
              <w:t>/</w:t>
            </w:r>
            <w:r>
              <w:rPr>
                <w:rFonts w:hint="eastAsia" w:ascii="Times New Roman" w:hAnsi="Times New Roman" w:eastAsia="方正仿宋简体" w:cs="方正仿宋简体"/>
                <w:bCs/>
                <w:sz w:val="21"/>
                <w:szCs w:val="21"/>
                <w:lang w:eastAsia="zh-CN"/>
              </w:rPr>
              <w:t>潜力</w:t>
            </w:r>
          </w:p>
        </w:tc>
        <w:tc>
          <w:tcPr>
            <w:tcW w:w="1182" w:type="dxa"/>
            <w:vAlign w:val="center"/>
          </w:tcPr>
          <w:p w14:paraId="3C8B09AF">
            <w:pPr>
              <w:widowControl/>
              <w:spacing w:line="270" w:lineRule="exact"/>
              <w:jc w:val="center"/>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科技突破</w:t>
            </w:r>
          </w:p>
        </w:tc>
        <w:tc>
          <w:tcPr>
            <w:tcW w:w="4031" w:type="dxa"/>
            <w:vAlign w:val="center"/>
          </w:tcPr>
          <w:p w14:paraId="3CFF5771">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牦牛一年一胎试验成功率86</w:t>
            </w:r>
            <w:r>
              <w:rPr>
                <w:rFonts w:hint="eastAsia" w:ascii="Times New Roman" w:hAnsi="Times New Roman" w:eastAsia="方正仿宋简体" w:cs="方正仿宋简体"/>
                <w:bCs/>
                <w:sz w:val="21"/>
                <w:szCs w:val="21"/>
                <w:lang w:val="en-US" w:eastAsia="zh-CN"/>
              </w:rPr>
              <w:t>.</w:t>
            </w:r>
            <w:r>
              <w:rPr>
                <w:rFonts w:hint="eastAsia" w:ascii="Times New Roman" w:hAnsi="Times New Roman" w:eastAsia="方正仿宋简体" w:cs="方正仿宋简体"/>
                <w:bCs/>
                <w:sz w:val="21"/>
                <w:szCs w:val="21"/>
                <w:lang w:eastAsia="zh-CN"/>
              </w:rPr>
              <w:t>21%，产犊年龄提前至2</w:t>
            </w:r>
            <w:r>
              <w:rPr>
                <w:rFonts w:hint="eastAsia" w:ascii="Times New Roman" w:hAnsi="Times New Roman" w:eastAsia="方正仿宋简体" w:cs="方正仿宋简体"/>
                <w:bCs/>
                <w:sz w:val="21"/>
                <w:szCs w:val="21"/>
                <w:lang w:val="en-US" w:eastAsia="zh-CN"/>
              </w:rPr>
              <w:t>.</w:t>
            </w:r>
            <w:r>
              <w:rPr>
                <w:rFonts w:hint="eastAsia" w:ascii="Times New Roman" w:hAnsi="Times New Roman" w:eastAsia="方正仿宋简体" w:cs="方正仿宋简体"/>
                <w:bCs/>
                <w:sz w:val="21"/>
                <w:szCs w:val="21"/>
                <w:lang w:eastAsia="zh-CN"/>
              </w:rPr>
              <w:t>5岁。</w:t>
            </w:r>
          </w:p>
        </w:tc>
        <w:tc>
          <w:tcPr>
            <w:tcW w:w="2707" w:type="dxa"/>
            <w:vAlign w:val="center"/>
          </w:tcPr>
          <w:p w14:paraId="2ACA4DDD">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大幅提升养殖效率。</w:t>
            </w:r>
          </w:p>
        </w:tc>
      </w:tr>
      <w:tr w14:paraId="065F5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918" w:type="dxa"/>
            <w:vMerge w:val="continue"/>
            <w:vAlign w:val="center"/>
          </w:tcPr>
          <w:p w14:paraId="30BAB309">
            <w:pPr>
              <w:widowControl/>
              <w:spacing w:line="270" w:lineRule="exact"/>
              <w:jc w:val="center"/>
              <w:rPr>
                <w:rFonts w:ascii="Times New Roman" w:hAnsi="Times New Roman" w:eastAsia="方正仿宋简体" w:cs="方正仿宋简体"/>
                <w:bCs/>
                <w:sz w:val="21"/>
                <w:szCs w:val="21"/>
                <w:lang w:eastAsia="zh-CN"/>
              </w:rPr>
            </w:pPr>
          </w:p>
        </w:tc>
        <w:tc>
          <w:tcPr>
            <w:tcW w:w="1182" w:type="dxa"/>
            <w:vAlign w:val="center"/>
          </w:tcPr>
          <w:p w14:paraId="05733372">
            <w:pPr>
              <w:widowControl/>
              <w:spacing w:line="270" w:lineRule="exact"/>
              <w:jc w:val="center"/>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发展方向</w:t>
            </w:r>
          </w:p>
        </w:tc>
        <w:tc>
          <w:tcPr>
            <w:tcW w:w="4031" w:type="dxa"/>
            <w:vAlign w:val="center"/>
          </w:tcPr>
          <w:p w14:paraId="2F89415B">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拓展肉干、骨钙等高附加值产品；融合草原旅游、游牧文化。</w:t>
            </w:r>
          </w:p>
        </w:tc>
        <w:tc>
          <w:tcPr>
            <w:tcW w:w="2707" w:type="dxa"/>
            <w:vAlign w:val="center"/>
          </w:tcPr>
          <w:p w14:paraId="3F9D0897">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产业链延伸，打开增长新空间。</w:t>
            </w:r>
          </w:p>
        </w:tc>
      </w:tr>
    </w:tbl>
    <w:p w14:paraId="135D23B8">
      <w:pPr>
        <w:spacing w:line="576" w:lineRule="exact"/>
        <w:ind w:firstLine="640" w:firstLineChars="200"/>
        <w:jc w:val="both"/>
        <w:rPr>
          <w:rFonts w:ascii="Times New Roman" w:hAnsi="Times New Roman" w:eastAsia="方正仿宋简体" w:cs="方正仿宋简体"/>
          <w:bCs/>
          <w:sz w:val="32"/>
          <w:szCs w:val="28"/>
        </w:rPr>
      </w:pPr>
      <w:r>
        <w:rPr>
          <w:rFonts w:hint="eastAsia" w:ascii="Times New Roman" w:hAnsi="Times New Roman" w:eastAsia="方正仿宋简体" w:cs="方正仿宋简体"/>
          <w:bCs/>
          <w:sz w:val="32"/>
          <w:szCs w:val="28"/>
        </w:rPr>
        <w:t>总而言之，那曲市的</w:t>
      </w:r>
      <w:r>
        <w:rPr>
          <w:rFonts w:hint="eastAsia" w:ascii="Times New Roman" w:hAnsi="Times New Roman" w:eastAsia="方正仿宋简体" w:cs="方正仿宋简体"/>
          <w:bCs/>
          <w:sz w:val="32"/>
          <w:szCs w:val="28"/>
          <w:lang w:eastAsia="zh-CN"/>
        </w:rPr>
        <w:t>高原特色畜牧业</w:t>
      </w:r>
      <w:r>
        <w:rPr>
          <w:rFonts w:hint="eastAsia" w:ascii="Times New Roman" w:hAnsi="Times New Roman" w:eastAsia="方正仿宋简体" w:cs="方正仿宋简体"/>
          <w:bCs/>
          <w:sz w:val="32"/>
          <w:szCs w:val="28"/>
        </w:rPr>
        <w:t>通过饲草料种植与供应、科学养殖与良种繁育、畜产品加工与品牌建设、市场销售与利益联结这四个主要环节的紧密协作，形成了一条完整的产业链。这条产业链不仅提供了丰富的畜产品，也促进了牧民的增收和草原生态的可持续发展。</w:t>
      </w:r>
    </w:p>
    <w:bookmarkEnd w:id="187"/>
    <w:bookmarkEnd w:id="188"/>
    <w:p w14:paraId="77300E40">
      <w:pPr>
        <w:pStyle w:val="8"/>
        <w:overflowPunct w:val="0"/>
        <w:topLinePunct/>
        <w:autoSpaceDE/>
        <w:autoSpaceDN/>
        <w:spacing w:before="0" w:line="576" w:lineRule="exact"/>
        <w:ind w:left="0" w:firstLine="640" w:firstLineChars="200"/>
        <w:jc w:val="both"/>
        <w:outlineLvl w:val="1"/>
        <w:rPr>
          <w:rFonts w:ascii="Times New Roman" w:hAnsi="Times New Roman" w:eastAsia="方正楷体简体" w:cs="方正仿宋简体"/>
          <w:sz w:val="32"/>
          <w:szCs w:val="32"/>
          <w:lang w:eastAsia="zh-CN"/>
        </w:rPr>
      </w:pPr>
      <w:bookmarkStart w:id="200" w:name="_Toc212558112"/>
      <w:bookmarkStart w:id="201" w:name="_Toc243241459"/>
      <w:bookmarkStart w:id="202" w:name="_Toc218422262"/>
      <w:bookmarkStart w:id="203" w:name="_Hlk233996878"/>
      <w:r>
        <w:rPr>
          <w:rFonts w:hint="eastAsia" w:ascii="Times New Roman" w:hAnsi="Times New Roman" w:eastAsia="方正楷体简体" w:cs="方正仿宋简体"/>
          <w:sz w:val="32"/>
          <w:szCs w:val="32"/>
        </w:rPr>
        <w:t>（二）高原特色种植业</w:t>
      </w:r>
      <w:bookmarkEnd w:id="200"/>
      <w:bookmarkEnd w:id="201"/>
      <w:bookmarkEnd w:id="202"/>
    </w:p>
    <w:bookmarkEnd w:id="203"/>
    <w:p w14:paraId="099FA73D">
      <w:pPr>
        <w:spacing w:line="576" w:lineRule="exact"/>
        <w:ind w:firstLine="640" w:firstLineChars="200"/>
        <w:jc w:val="both"/>
        <w:rPr>
          <w:rFonts w:ascii="Times New Roman" w:hAnsi="Times New Roman" w:eastAsia="方正仿宋简体" w:cs="方正仿宋简体"/>
          <w:sz w:val="32"/>
          <w:szCs w:val="28"/>
          <w:lang w:val="en-US"/>
        </w:rPr>
      </w:pPr>
      <w:bookmarkStart w:id="204" w:name="_Toc212558113"/>
      <w:r>
        <w:rPr>
          <w:rFonts w:ascii="Times New Roman" w:hAnsi="Times New Roman" w:eastAsia="方正仿宋简体" w:cs="方正仿宋简体"/>
          <w:bCs/>
          <w:sz w:val="32"/>
          <w:szCs w:val="28"/>
        </w:rPr>
        <w:t>高原特色种植业是</w:t>
      </w:r>
      <w:r>
        <w:rPr>
          <w:rFonts w:hint="eastAsia" w:ascii="Times New Roman" w:hAnsi="Times New Roman" w:eastAsia="方正仿宋简体" w:cs="方正仿宋简体"/>
          <w:bCs/>
          <w:sz w:val="32"/>
          <w:szCs w:val="28"/>
          <w:lang w:eastAsia="zh-CN"/>
        </w:rPr>
        <w:t>那曲市</w:t>
      </w:r>
      <w:r>
        <w:rPr>
          <w:rFonts w:ascii="Times New Roman" w:hAnsi="Times New Roman" w:eastAsia="方正仿宋简体" w:cs="方正仿宋简体"/>
          <w:bCs/>
          <w:sz w:val="32"/>
          <w:szCs w:val="28"/>
        </w:rPr>
        <w:t>与高原特色畜牧业相辅相成</w:t>
      </w:r>
      <w:r>
        <w:rPr>
          <w:rFonts w:ascii="Times New Roman" w:hAnsi="Times New Roman" w:eastAsia="方正仿宋简体" w:cs="方正仿宋简体"/>
          <w:bCs/>
          <w:sz w:val="32"/>
          <w:szCs w:val="28"/>
          <w:lang w:val="en-US"/>
        </w:rPr>
        <w:t>、互为支撑的</w:t>
      </w:r>
      <w:r>
        <w:rPr>
          <w:rFonts w:ascii="Times New Roman" w:hAnsi="Times New Roman" w:eastAsia="方正仿宋简体" w:cs="方正仿宋简体"/>
          <w:sz w:val="32"/>
          <w:szCs w:val="28"/>
          <w:lang w:val="en-US"/>
        </w:rPr>
        <w:t>基础性、保障性配套产业，</w:t>
      </w:r>
      <w:r>
        <w:rPr>
          <w:rFonts w:ascii="Times New Roman" w:hAnsi="Times New Roman" w:eastAsia="方正仿宋简体" w:cs="方正仿宋简体"/>
          <w:bCs/>
          <w:sz w:val="32"/>
          <w:szCs w:val="28"/>
          <w:lang w:val="en-US"/>
        </w:rPr>
        <w:t>是完善全市基础产业体系、优化种养结构、稳固生态基底、拓宽富民渠道的重要支撑。那曲市平均海拔4500米以上，高寒缺氧、积温不足、冻土广布，传统种植业发展条件极度受限、自然约束极为突出。近年来，全市立足高海拔独特生态禀赋，坚持科技赋能、因地制宜、适度发展、生态优先，持续突破高海拔种植技术瓶颈、优化特色种植布局、丰富种养业态，逐步构建形成</w:t>
      </w:r>
      <w:r>
        <w:rPr>
          <w:rFonts w:ascii="Times New Roman" w:hAnsi="Times New Roman" w:eastAsia="方正仿宋简体" w:cs="方正仿宋简体"/>
          <w:sz w:val="32"/>
          <w:szCs w:val="28"/>
          <w:lang w:val="en-US"/>
        </w:rPr>
        <w:t>以饲草规模化种植为核心、特色农作物适度试</w:t>
      </w:r>
      <w:bookmarkStart w:id="205" w:name="OLE_LINK64"/>
      <w:r>
        <w:rPr>
          <w:rFonts w:ascii="Times New Roman" w:hAnsi="Times New Roman" w:eastAsia="方正仿宋简体" w:cs="方正仿宋简体"/>
          <w:bCs/>
          <w:sz w:val="32"/>
          <w:szCs w:val="28"/>
          <w:lang w:val="en-US"/>
        </w:rPr>
        <w:t>种、道地藏药材培育保护为两翼的高原特色种植业发展格局。作为全市基础产业体系的重要组成部分，高原特色种植业不仅为</w:t>
      </w:r>
      <w:r>
        <w:rPr>
          <w:rFonts w:hint="eastAsia" w:ascii="Times New Roman" w:hAnsi="Times New Roman" w:eastAsia="方正仿宋简体" w:cs="方正仿宋简体"/>
          <w:bCs/>
          <w:sz w:val="32"/>
          <w:szCs w:val="28"/>
          <w:lang w:val="en-US"/>
        </w:rPr>
        <w:t>高原特色</w:t>
      </w:r>
      <w:r>
        <w:rPr>
          <w:rFonts w:ascii="Times New Roman" w:hAnsi="Times New Roman" w:eastAsia="方正仿宋简体" w:cs="方正仿宋简体"/>
          <w:bCs/>
          <w:sz w:val="32"/>
          <w:szCs w:val="28"/>
          <w:lang w:val="en-US"/>
        </w:rPr>
        <w:t>畜牧业高质量发展提供核心物资保障，有效补齐高原产业短板、优化</w:t>
      </w:r>
      <w:r>
        <w:rPr>
          <w:rFonts w:hint="eastAsia" w:ascii="Times New Roman" w:hAnsi="Times New Roman" w:eastAsia="方正仿宋简体" w:cs="方正仿宋简体"/>
          <w:bCs/>
          <w:sz w:val="32"/>
          <w:szCs w:val="28"/>
          <w:lang w:val="en-US"/>
        </w:rPr>
        <w:t>那曲</w:t>
      </w:r>
      <w:r>
        <w:rPr>
          <w:rFonts w:ascii="Times New Roman" w:hAnsi="Times New Roman" w:eastAsia="方正仿宋简体" w:cs="方正仿宋简体"/>
          <w:bCs/>
          <w:sz w:val="32"/>
          <w:szCs w:val="28"/>
          <w:lang w:val="en-US"/>
        </w:rPr>
        <w:t>产业结构，同时承担着生态修复治理、种质资源保护、农</w:t>
      </w:r>
      <w:bookmarkEnd w:id="205"/>
      <w:r>
        <w:rPr>
          <w:rFonts w:ascii="Times New Roman" w:hAnsi="Times New Roman" w:eastAsia="方正仿宋简体" w:cs="方正仿宋简体"/>
          <w:bCs/>
          <w:sz w:val="32"/>
          <w:szCs w:val="28"/>
          <w:lang w:val="en-US"/>
        </w:rPr>
        <w:t>产品供给保障、农牧民多元增收的基础功能，对稳定全市产业基本盘、夯实乡村振兴根基、筑牢藏北高原生态安全屏障具有不可替代的基础性作用。</w:t>
      </w:r>
      <w:r>
        <w:rPr>
          <w:rFonts w:ascii="Times New Roman" w:hAnsi="Times New Roman" w:eastAsia="方正仿宋简体" w:cs="方正仿宋简体"/>
          <w:b/>
          <w:bCs/>
          <w:sz w:val="32"/>
          <w:szCs w:val="28"/>
          <w:lang w:val="en-US"/>
        </w:rPr>
        <w:t>一是</w:t>
      </w:r>
      <w:r>
        <w:rPr>
          <w:rFonts w:ascii="Times New Roman" w:hAnsi="Times New Roman" w:eastAsia="方正仿宋简体" w:cs="方正仿宋简体"/>
          <w:sz w:val="32"/>
          <w:szCs w:val="28"/>
          <w:lang w:val="en-US"/>
        </w:rPr>
        <w:t>规模化人工种草，夯实生态畜牧与生态修复基础。为有效化解高寒牧区草畜矛盾、缓解天然草场承载压力、系统推进退化草原生态修复，那曲市自2010年起持续推进人工种草规模化、标准化发展，逐步构建形成房前屋后零散种植与集中连片机械化种植相结合的区域化发展模式。</w:t>
      </w:r>
      <w:bookmarkStart w:id="206" w:name="OLE_LINK68"/>
      <w:r>
        <w:rPr>
          <w:rFonts w:ascii="Times New Roman" w:hAnsi="Times New Roman" w:eastAsia="方正仿宋简体" w:cs="方正仿宋简体"/>
          <w:sz w:val="32"/>
          <w:szCs w:val="28"/>
          <w:lang w:val="en-US"/>
        </w:rPr>
        <w:t>全市种植技术实现高海拔突破，在平均海拔5000米的尼玛县等高海拔区域实现燕麦稳定规模化种植，燕麦平均株高可达1.5米，填补了极高海拔人工种草技术空白。</w:t>
      </w:r>
      <w:bookmarkEnd w:id="206"/>
      <w:r>
        <w:rPr>
          <w:rFonts w:ascii="Times New Roman" w:hAnsi="Times New Roman" w:eastAsia="方正仿宋简体" w:cs="方正仿宋简体"/>
          <w:sz w:val="32"/>
          <w:szCs w:val="28"/>
          <w:lang w:val="en-US"/>
        </w:rPr>
        <w:t>产业产能稳步提升，2025年，全市人工种草总面积稳定达到10万亩，其中房前屋后种草7.38万亩、集中连片种植2.62万亩，燕麦始终作为核心主推品种。索县、尼玛县、申扎县等重点种植片区规模化种植成效持续巩固，鲜草亩产稳定保持在5000斤左右，为牲畜越冬补饲、维系草畜动态平衡、保障畜牧业稳产稳供提供了坚实物资支撑。同时，生态监测数据表明，人工种草可有效削减地表径流47%、降低土壤冲刷量77%，在防控水土流失、抑制土地沙化与荒漠化、促进天然草地植被自我修复等方面发挥重要基础性作用，实现产业保障与生态治理双向赋能；</w:t>
      </w:r>
      <w:r>
        <w:rPr>
          <w:rFonts w:ascii="Times New Roman" w:hAnsi="Times New Roman" w:eastAsia="方正仿宋简体" w:cs="方正仿宋简体"/>
          <w:b/>
          <w:bCs/>
          <w:sz w:val="32"/>
          <w:szCs w:val="28"/>
          <w:lang w:val="en-US"/>
        </w:rPr>
        <w:t>二是</w:t>
      </w:r>
      <w:r>
        <w:rPr>
          <w:rFonts w:ascii="Times New Roman" w:hAnsi="Times New Roman" w:eastAsia="方正仿宋简体" w:cs="方正仿宋简体"/>
          <w:sz w:val="32"/>
          <w:szCs w:val="28"/>
          <w:lang w:val="en-US"/>
        </w:rPr>
        <w:t>特色作物试验示范种植，丰富高原农产品供给体系。全市持续加大高海拔特色作物科研试验与示范推广力度，不断拓宽高原种植品类、优化农产品供给结构，稳步提升区域特色农业保障能力。2025年8月，市农牧业科技研究推广中心在海拔4500米以上设施温室成功试种</w:t>
      </w:r>
      <w:r>
        <w:rPr>
          <w:rFonts w:hint="eastAsia" w:ascii="方正仿宋简体" w:hAnsi="方正仿宋简体" w:eastAsia="方正仿宋简体" w:cs="方正仿宋简体"/>
          <w:sz w:val="32"/>
          <w:szCs w:val="28"/>
          <w:lang w:val="en-US"/>
        </w:rPr>
        <w:t>“黑美人”</w:t>
      </w:r>
      <w:r>
        <w:rPr>
          <w:rFonts w:ascii="Times New Roman" w:hAnsi="Times New Roman" w:eastAsia="方正仿宋简体" w:cs="方正仿宋简体"/>
          <w:sz w:val="32"/>
          <w:szCs w:val="28"/>
          <w:lang w:val="en-US"/>
        </w:rPr>
        <w:t>土豆，亩产达1946.76斤。该品种富含原花青素、维生素C等营养物质，品质独特、附加值高、市场竞争力强。未来3至5年，将持续完善</w:t>
      </w:r>
      <w:r>
        <w:rPr>
          <w:rFonts w:hint="eastAsia" w:ascii="方正仿宋简体" w:hAnsi="方正仿宋简体" w:eastAsia="方正仿宋简体" w:cs="方正仿宋简体"/>
          <w:sz w:val="32"/>
          <w:szCs w:val="28"/>
          <w:lang w:val="en-US"/>
        </w:rPr>
        <w:t>“科研攻关、示范引领、全域推广”</w:t>
      </w:r>
      <w:r>
        <w:rPr>
          <w:rFonts w:ascii="Times New Roman" w:hAnsi="Times New Roman" w:eastAsia="方正仿宋简体" w:cs="方正仿宋简体"/>
          <w:sz w:val="32"/>
          <w:szCs w:val="28"/>
          <w:lang w:val="en-US"/>
        </w:rPr>
        <w:t>全链条发展模式，着力打造高海拔特色设施农业示范标杆，培育高原农业发展新亮点。依托援藏科技资源赋能，全市已成功实现草莓等特色经济作物试种突破，进一步丰富高原特色农产品业态，推动种植业向多元化、特色化、高附加值方向转型升级</w:t>
      </w:r>
      <w:r>
        <w:rPr>
          <w:rFonts w:hint="eastAsia" w:ascii="Times New Roman" w:hAnsi="Times New Roman" w:eastAsia="方正仿宋简体" w:cs="方正仿宋简体"/>
          <w:sz w:val="32"/>
          <w:szCs w:val="28"/>
          <w:lang w:val="en-US"/>
        </w:rPr>
        <w:t>；</w:t>
      </w:r>
      <w:r>
        <w:rPr>
          <w:rFonts w:ascii="Times New Roman" w:hAnsi="Times New Roman" w:eastAsia="方正仿宋简体" w:cs="方正仿宋简体"/>
          <w:b/>
          <w:bCs/>
          <w:sz w:val="32"/>
          <w:szCs w:val="28"/>
          <w:lang w:val="en-US"/>
        </w:rPr>
        <w:t>三是</w:t>
      </w:r>
      <w:r>
        <w:rPr>
          <w:rFonts w:hint="eastAsia" w:ascii="Times New Roman" w:hAnsi="Times New Roman" w:eastAsia="方正仿宋简体" w:cs="方正仿宋简体"/>
          <w:sz w:val="32"/>
          <w:szCs w:val="28"/>
          <w:lang w:val="en-US"/>
        </w:rPr>
        <w:t>道地藏药材保育种植，筑牢藏医药产业发展根基。藏医药是藏民族优秀传统文化瑰宝，也是那曲市极具地域辨识度的特色优势产业。全市以索县等藏药材资源富集区域为重点，统筹推进道地藏药材标准化规模化种植基地建设与高山野生藏药材原生境保护，构建“野生保育+人工培育”协同发展体系。通过规范化种养、科学化管护、系统性保护，从源头稳固藏医药产业原料供给基底，推动传统藏医药文化资源与现代特色产业发展深度融合，实现种质资源有效保护、特色产业持续提质、传统文化传承创新的良性发展格局。</w:t>
      </w:r>
    </w:p>
    <w:p w14:paraId="4CDF778C">
      <w:pPr>
        <w:spacing w:line="576" w:lineRule="exact"/>
        <w:ind w:firstLine="640" w:firstLineChars="200"/>
        <w:jc w:val="both"/>
        <w:rPr>
          <w:rFonts w:ascii="Times New Roman" w:hAnsi="Times New Roman" w:eastAsia="方正仿宋简体" w:cs="方正仿宋简体"/>
          <w:bCs/>
          <w:sz w:val="32"/>
          <w:szCs w:val="28"/>
          <w:lang w:val="en-US"/>
        </w:rPr>
      </w:pPr>
      <w:r>
        <w:rPr>
          <w:rFonts w:hint="eastAsia" w:ascii="Times New Roman" w:hAnsi="Times New Roman" w:eastAsia="方正仿宋简体" w:cs="方正仿宋简体"/>
          <w:bCs/>
          <w:sz w:val="32"/>
          <w:szCs w:val="28"/>
          <w:lang w:val="en-US"/>
        </w:rPr>
        <w:t>科技创新是</w:t>
      </w:r>
      <w:r>
        <w:rPr>
          <w:rFonts w:hint="eastAsia" w:ascii="Times New Roman" w:hAnsi="Times New Roman" w:eastAsia="方正仿宋简体" w:cs="方正仿宋简体"/>
          <w:bCs/>
          <w:sz w:val="32"/>
          <w:szCs w:val="28"/>
          <w:lang w:val="en-US" w:eastAsia="zh-CN"/>
        </w:rPr>
        <w:t>那曲</w:t>
      </w:r>
      <w:r>
        <w:rPr>
          <w:rFonts w:hint="eastAsia" w:ascii="Times New Roman" w:hAnsi="Times New Roman" w:eastAsia="方正仿宋简体" w:cs="方正仿宋简体"/>
          <w:bCs/>
          <w:sz w:val="32"/>
          <w:szCs w:val="28"/>
          <w:lang w:val="en-US"/>
        </w:rPr>
        <w:t>市高原特色种植业突破高寒制约、提质增效、可持续发展的核心驱动力。全市聚焦高海拔冻土广布、积温不足、生态脆弱等突出短板，持续强化良种选育、技术集成、数字管控全方位科技赋能，逐步构建适配藏北高寒区域的特色种植技术体系，为产业规模化、标准化、科学化发展筑牢科技支撑。</w:t>
      </w:r>
      <w:r>
        <w:rPr>
          <w:rFonts w:hint="eastAsia" w:ascii="Times New Roman" w:hAnsi="Times New Roman" w:eastAsia="方正仿宋简体" w:cs="方正仿宋简体"/>
          <w:b/>
          <w:sz w:val="32"/>
          <w:szCs w:val="28"/>
          <w:lang w:val="en-US"/>
        </w:rPr>
        <w:t>一是</w:t>
      </w:r>
      <w:r>
        <w:rPr>
          <w:rFonts w:hint="eastAsia" w:ascii="Times New Roman" w:hAnsi="Times New Roman" w:eastAsia="方正仿宋简体" w:cs="方正仿宋简体"/>
          <w:bCs/>
          <w:sz w:val="32"/>
          <w:szCs w:val="28"/>
          <w:lang w:val="en-US"/>
        </w:rPr>
        <w:t>精准开展品种筛选适配，夯实种源发展基础。立足那曲高寒气候、土壤及生态禀赋特征，依托区内外科研资源，持续开展牧草、农作物及生态苗木引种试验、对比筛选、驯化示范，择优适配本地种质资源。目前，已筛选确定19种适宜本地推广的优质牧草品种。同时，优选青海云杉、高山柳等8类抗寒耐逆、适应性强的乡土苗木，为全市人工种草、植被修复、生态造林及特色种植产业发展提供稳定可靠的种源保障；</w:t>
      </w:r>
      <w:r>
        <w:rPr>
          <w:rFonts w:hint="eastAsia" w:ascii="Times New Roman" w:hAnsi="Times New Roman" w:eastAsia="方正仿宋简体" w:cs="方正仿宋简体"/>
          <w:b/>
          <w:sz w:val="32"/>
          <w:szCs w:val="28"/>
          <w:lang w:val="en-US"/>
        </w:rPr>
        <w:t>二是</w:t>
      </w:r>
      <w:r>
        <w:rPr>
          <w:rFonts w:hint="eastAsia" w:ascii="Times New Roman" w:hAnsi="Times New Roman" w:eastAsia="方正仿宋简体" w:cs="方正仿宋简体"/>
          <w:bCs/>
          <w:sz w:val="32"/>
          <w:szCs w:val="28"/>
          <w:lang w:val="en-US"/>
        </w:rPr>
        <w:t>集成推广高原适配技术，破解种植发展瓶颈。针对</w:t>
      </w:r>
      <w:bookmarkStart w:id="207" w:name="OLE_LINK172"/>
      <w:r>
        <w:rPr>
          <w:rFonts w:hint="eastAsia" w:ascii="Times New Roman" w:hAnsi="Times New Roman" w:eastAsia="方正仿宋简体" w:cs="方正仿宋简体"/>
          <w:bCs/>
          <w:sz w:val="32"/>
          <w:szCs w:val="28"/>
          <w:lang w:val="en-US"/>
        </w:rPr>
        <w:t>那曲</w:t>
      </w:r>
      <w:bookmarkEnd w:id="207"/>
      <w:r>
        <w:rPr>
          <w:rFonts w:hint="eastAsia" w:ascii="Times New Roman" w:hAnsi="Times New Roman" w:eastAsia="方正仿宋简体" w:cs="方正仿宋简体"/>
          <w:bCs/>
          <w:sz w:val="32"/>
          <w:szCs w:val="28"/>
          <w:lang w:val="en-US"/>
        </w:rPr>
        <w:t>冻土层深厚、有效积温不足、紫外线强、昼夜温差大等先天制约因素，创新集成应用开顶式增温温室、蓝钛膜土壤增温、防紫外线雾化喷淋等先进配套技术，有效优化作物生长微环境，显著提升高海拔区域苗木及作物成活率、稳产率。在“黑美人”土豆等特色经济作物试种过程中，同步优化标准化种植技术体系，完善节水灌溉、土壤改良、温湿度精准调控等配套举措，有效破解高海拔设施种植技术难题，筑牢特色作物稳产提质技术根基；</w:t>
      </w:r>
      <w:r>
        <w:rPr>
          <w:rFonts w:hint="eastAsia" w:ascii="Times New Roman" w:hAnsi="Times New Roman" w:eastAsia="方正仿宋简体" w:cs="方正仿宋简体"/>
          <w:b/>
          <w:sz w:val="32"/>
          <w:szCs w:val="28"/>
          <w:lang w:val="en-US"/>
        </w:rPr>
        <w:t>三是</w:t>
      </w:r>
      <w:r>
        <w:rPr>
          <w:rFonts w:hint="eastAsia" w:ascii="Times New Roman" w:hAnsi="Times New Roman" w:eastAsia="方正仿宋简体" w:cs="方正仿宋简体"/>
          <w:bCs/>
          <w:sz w:val="32"/>
          <w:szCs w:val="28"/>
          <w:lang w:val="en-US"/>
        </w:rPr>
        <w:t>推行数字化监测管控，提升科学种养水平。依托遥感监测、大数据分析等数字化技术手段，对全市人工种草种植规模、长势态势、产出成效及生态修复效益开展常态化动态监测与科学评估，实现种植全过程精准管控、科学研判、精准施策，为全市特色种植业布局优化、标准推广、规范管理、提质增效提供坚实的数据支撑和科学决策依据。</w:t>
      </w:r>
    </w:p>
    <w:p w14:paraId="33FA0C07">
      <w:pPr>
        <w:spacing w:line="576" w:lineRule="exact"/>
        <w:ind w:firstLine="640" w:firstLineChars="200"/>
        <w:jc w:val="both"/>
        <w:rPr>
          <w:rFonts w:ascii="Times New Roman" w:hAnsi="Times New Roman" w:eastAsia="方正仿宋简体" w:cs="方正仿宋简体"/>
          <w:bCs/>
          <w:sz w:val="32"/>
          <w:szCs w:val="28"/>
        </w:rPr>
      </w:pPr>
      <w:r>
        <w:rPr>
          <w:rFonts w:hint="eastAsia" w:ascii="Times New Roman" w:hAnsi="Times New Roman" w:eastAsia="方正仿宋简体" w:cs="方正仿宋简体"/>
          <w:bCs/>
          <w:sz w:val="32"/>
          <w:szCs w:val="28"/>
          <w:lang w:val="en-US" w:eastAsia="zh-CN"/>
        </w:rPr>
        <w:t>那曲</w:t>
      </w:r>
      <w:r>
        <w:rPr>
          <w:rFonts w:hint="eastAsia" w:ascii="Times New Roman" w:hAnsi="Times New Roman" w:eastAsia="方正仿宋简体" w:cs="方正仿宋简体"/>
          <w:bCs/>
          <w:sz w:val="32"/>
          <w:szCs w:val="28"/>
        </w:rPr>
        <w:t>市高原特色种植业的发展，带来了多方面的积极影响</w:t>
      </w:r>
      <w:r>
        <w:rPr>
          <w:rFonts w:hint="eastAsia" w:ascii="Times New Roman" w:hAnsi="Times New Roman" w:eastAsia="方正仿宋简体" w:cs="方正仿宋简体"/>
          <w:bCs/>
          <w:sz w:val="32"/>
          <w:szCs w:val="28"/>
          <w:lang w:eastAsia="zh-CN"/>
        </w:rPr>
        <w:t>。</w:t>
      </w:r>
      <w:r>
        <w:rPr>
          <w:rFonts w:hint="eastAsia" w:ascii="Times New Roman" w:hAnsi="Times New Roman" w:eastAsia="方正仿宋简体" w:cs="方正仿宋简体"/>
          <w:b/>
          <w:sz w:val="32"/>
          <w:szCs w:val="28"/>
        </w:rPr>
        <w:t>一是</w:t>
      </w:r>
      <w:r>
        <w:rPr>
          <w:rFonts w:hint="eastAsia" w:ascii="Times New Roman" w:hAnsi="Times New Roman" w:eastAsia="方正仿宋简体" w:cs="方正仿宋简体"/>
          <w:bCs/>
          <w:sz w:val="32"/>
          <w:szCs w:val="28"/>
        </w:rPr>
        <w:t>生态效益显著。人工种草和生态植树不仅减轻了天然草场的压力，其本身在水土保持、固沙聚水、净化空气等方面也发挥了重要作用，推动了从“单向索取”到“绿色发展”的转变；</w:t>
      </w:r>
      <w:r>
        <w:rPr>
          <w:rFonts w:hint="eastAsia" w:ascii="Times New Roman" w:hAnsi="Times New Roman" w:eastAsia="方正仿宋简体" w:cs="方正仿宋简体"/>
          <w:b/>
          <w:sz w:val="32"/>
          <w:szCs w:val="28"/>
        </w:rPr>
        <w:t>二是</w:t>
      </w:r>
      <w:r>
        <w:rPr>
          <w:rFonts w:hint="eastAsia" w:ascii="Times New Roman" w:hAnsi="Times New Roman" w:eastAsia="方正仿宋简体" w:cs="方正仿宋简体"/>
          <w:bCs/>
          <w:sz w:val="32"/>
          <w:szCs w:val="28"/>
        </w:rPr>
        <w:t>促进牧民增收与产业多元化</w:t>
      </w:r>
      <w:r>
        <w:rPr>
          <w:rFonts w:hint="eastAsia" w:ascii="Times New Roman" w:hAnsi="Times New Roman" w:eastAsia="方正仿宋简体" w:cs="方正仿宋简体"/>
          <w:bCs/>
          <w:sz w:val="32"/>
          <w:szCs w:val="28"/>
          <w:lang w:eastAsia="zh-CN"/>
        </w:rPr>
        <w:t>。</w:t>
      </w:r>
      <w:r>
        <w:rPr>
          <w:rFonts w:hint="eastAsia" w:ascii="Times New Roman" w:hAnsi="Times New Roman" w:eastAsia="方正仿宋简体" w:cs="方正仿宋简体"/>
          <w:bCs/>
          <w:sz w:val="32"/>
          <w:szCs w:val="28"/>
        </w:rPr>
        <w:t>种植业发展为牧民创造了新的收入来源，例如“黑美人”土豆等特色农产品因其功能性特点具有市场溢价空间。同时，种植业与畜牧业结合，延长了产业链，为草原儿女带来了更多元的就业机会和更稳定的生活；</w:t>
      </w:r>
      <w:r>
        <w:rPr>
          <w:rFonts w:hint="eastAsia" w:ascii="Times New Roman" w:hAnsi="Times New Roman" w:eastAsia="方正仿宋简体" w:cs="方正仿宋简体"/>
          <w:b/>
          <w:sz w:val="32"/>
          <w:szCs w:val="28"/>
        </w:rPr>
        <w:t>三是</w:t>
      </w:r>
      <w:r>
        <w:rPr>
          <w:rFonts w:hint="eastAsia" w:ascii="Times New Roman" w:hAnsi="Times New Roman" w:eastAsia="方正仿宋简体" w:cs="方正仿宋简体"/>
          <w:bCs/>
          <w:sz w:val="32"/>
          <w:szCs w:val="28"/>
        </w:rPr>
        <w:t>提升区域食物供给能力</w:t>
      </w:r>
      <w:r>
        <w:rPr>
          <w:rFonts w:hint="eastAsia" w:ascii="Times New Roman" w:hAnsi="Times New Roman" w:eastAsia="方正仿宋简体" w:cs="方正仿宋简体"/>
          <w:bCs/>
          <w:sz w:val="32"/>
          <w:szCs w:val="28"/>
          <w:lang w:eastAsia="zh-CN"/>
        </w:rPr>
        <w:t>。</w:t>
      </w:r>
      <w:r>
        <w:rPr>
          <w:rFonts w:hint="eastAsia" w:ascii="Times New Roman" w:hAnsi="Times New Roman" w:eastAsia="方正仿宋简体" w:cs="方正仿宋简体"/>
          <w:bCs/>
          <w:sz w:val="32"/>
          <w:szCs w:val="28"/>
        </w:rPr>
        <w:t>多样化种植增强了高原农业的抗风险能力，为保障边疆地区食物供给提供了新的选择和弹性。</w:t>
      </w:r>
    </w:p>
    <w:p w14:paraId="1AAC3E0A">
      <w:pPr>
        <w:spacing w:line="576" w:lineRule="exact"/>
        <w:ind w:firstLine="640" w:firstLineChars="200"/>
        <w:jc w:val="both"/>
        <w:rPr>
          <w:rFonts w:ascii="Times New Roman" w:hAnsi="Times New Roman" w:eastAsia="方正仿宋简体" w:cs="方正仿宋简体"/>
          <w:bCs/>
          <w:sz w:val="32"/>
          <w:szCs w:val="28"/>
          <w:lang w:eastAsia="zh-CN"/>
        </w:rPr>
      </w:pPr>
      <w:r>
        <w:rPr>
          <w:rFonts w:hint="eastAsia" w:ascii="Times New Roman" w:hAnsi="Times New Roman" w:eastAsia="方正仿宋简体" w:cs="方正仿宋简体"/>
          <w:bCs/>
          <w:sz w:val="32"/>
          <w:szCs w:val="28"/>
        </w:rPr>
        <w:t>未来，那曲的特色种植业有望在现有基础上，进一步深化“科研+示范+推广”的全产业链模式，并可能与</w:t>
      </w:r>
      <w:r>
        <w:rPr>
          <w:rFonts w:hint="eastAsia" w:ascii="Times New Roman" w:hAnsi="Times New Roman" w:eastAsia="方正仿宋简体" w:cs="方正仿宋简体"/>
          <w:bCs/>
          <w:sz w:val="32"/>
          <w:szCs w:val="28"/>
          <w:lang w:eastAsia="zh-CN"/>
        </w:rPr>
        <w:t>高原特色畜牧业</w:t>
      </w:r>
      <w:r>
        <w:rPr>
          <w:rFonts w:hint="eastAsia" w:ascii="Times New Roman" w:hAnsi="Times New Roman" w:eastAsia="方正仿宋简体" w:cs="方正仿宋简体"/>
          <w:bCs/>
          <w:sz w:val="32"/>
          <w:szCs w:val="28"/>
        </w:rPr>
        <w:t>、生态旅游、文化体验等业态更深度融合，持续为藏北高原的生态保护与高质量发展注入动能。</w:t>
      </w:r>
      <w:r>
        <w:rPr>
          <w:rFonts w:hint="eastAsia" w:ascii="Times New Roman" w:hAnsi="Times New Roman" w:eastAsia="方正仿宋简体" w:cs="方正仿宋简体"/>
          <w:bCs/>
          <w:sz w:val="32"/>
          <w:szCs w:val="28"/>
          <w:lang w:eastAsia="zh-CN"/>
        </w:rPr>
        <w:t>以青稞、</w:t>
      </w:r>
      <w:bookmarkStart w:id="208" w:name="OLE_LINK69"/>
      <w:r>
        <w:rPr>
          <w:rFonts w:hint="eastAsia" w:ascii="Times New Roman" w:hAnsi="Times New Roman" w:eastAsia="方正仿宋简体" w:cs="方正仿宋简体"/>
          <w:bCs/>
          <w:sz w:val="32"/>
          <w:szCs w:val="28"/>
          <w:lang w:eastAsia="zh-CN"/>
        </w:rPr>
        <w:t>芫根</w:t>
      </w:r>
      <w:bookmarkEnd w:id="208"/>
      <w:r>
        <w:rPr>
          <w:rFonts w:hint="eastAsia" w:ascii="Times New Roman" w:hAnsi="Times New Roman" w:eastAsia="方正仿宋简体" w:cs="方正仿宋简体"/>
          <w:bCs/>
          <w:sz w:val="32"/>
          <w:szCs w:val="28"/>
          <w:lang w:eastAsia="zh-CN"/>
        </w:rPr>
        <w:t>、藏药材、饲草为核心，依托高海拔洁净生态与特色种质，叠加政策+科技+经营主体赋能，具备生态稀缺性与产业链延伸两大核心竞争力，未来在高附加值加工、设施农业、特色种质利用上潜力巨大。</w:t>
      </w:r>
    </w:p>
    <w:p w14:paraId="5CD4C2C6">
      <w:pPr>
        <w:spacing w:line="576" w:lineRule="exact"/>
        <w:ind w:firstLine="640" w:firstLineChars="200"/>
        <w:jc w:val="both"/>
        <w:outlineLvl w:val="2"/>
        <w:rPr>
          <w:rFonts w:ascii="Times New Roman" w:hAnsi="Times New Roman" w:eastAsia="方正仿宋简体" w:cs="方正仿宋简体"/>
          <w:bCs/>
          <w:sz w:val="32"/>
          <w:szCs w:val="28"/>
          <w:lang w:eastAsia="zh-CN"/>
        </w:rPr>
      </w:pPr>
      <w:bookmarkStart w:id="209" w:name="_Toc243241460"/>
      <w:r>
        <w:rPr>
          <w:rFonts w:hint="eastAsia" w:ascii="Times New Roman" w:hAnsi="Times New Roman" w:eastAsia="方正仿宋简体" w:cs="方正仿宋简体"/>
          <w:bCs/>
          <w:sz w:val="32"/>
          <w:szCs w:val="28"/>
          <w:lang w:eastAsia="zh-CN"/>
        </w:rPr>
        <w:t>1</w:t>
      </w:r>
      <w:r>
        <w:rPr>
          <w:rFonts w:hint="eastAsia" w:ascii="Times New Roman" w:hAnsi="Times New Roman" w:eastAsia="方正仿宋简体" w:cs="方正仿宋简体"/>
          <w:bCs/>
          <w:sz w:val="32"/>
          <w:szCs w:val="28"/>
          <w:lang w:val="en-US"/>
        </w:rPr>
        <w:t>．</w:t>
      </w:r>
      <w:r>
        <w:rPr>
          <w:rFonts w:hint="eastAsia" w:ascii="Times New Roman" w:hAnsi="Times New Roman" w:eastAsia="方正仿宋简体" w:cs="方正仿宋简体"/>
          <w:bCs/>
          <w:sz w:val="32"/>
          <w:szCs w:val="28"/>
          <w:lang w:eastAsia="zh-CN"/>
        </w:rPr>
        <w:t>资源优势</w:t>
      </w:r>
      <w:bookmarkEnd w:id="209"/>
    </w:p>
    <w:p w14:paraId="69410829">
      <w:pPr>
        <w:spacing w:line="576" w:lineRule="exact"/>
        <w:ind w:firstLine="643" w:firstLineChars="200"/>
        <w:jc w:val="both"/>
        <w:rPr>
          <w:rFonts w:ascii="Times New Roman" w:hAnsi="Times New Roman" w:eastAsia="方正仿宋简体" w:cs="方正仿宋简体"/>
          <w:bCs/>
          <w:sz w:val="32"/>
          <w:szCs w:val="28"/>
          <w:lang w:eastAsia="zh-CN"/>
        </w:rPr>
      </w:pPr>
      <w:r>
        <w:rPr>
          <w:rFonts w:hint="eastAsia" w:ascii="Times New Roman" w:hAnsi="Times New Roman" w:eastAsia="方正仿宋简体" w:cs="方正仿宋简体"/>
          <w:b/>
          <w:sz w:val="32"/>
          <w:szCs w:val="28"/>
          <w:lang w:eastAsia="zh-CN"/>
        </w:rPr>
        <w:t>一是</w:t>
      </w:r>
      <w:r>
        <w:rPr>
          <w:rFonts w:hint="eastAsia" w:ascii="Times New Roman" w:hAnsi="Times New Roman" w:eastAsia="方正仿宋简体" w:cs="方正仿宋简体"/>
          <w:bCs/>
          <w:sz w:val="32"/>
          <w:szCs w:val="28"/>
          <w:lang w:eastAsia="zh-CN"/>
        </w:rPr>
        <w:t>生态禀赋得天独厚。全市平均海拔4500米以上，区域空气洁净、日照充沛、昼夜温差大、病虫害发生少，天然具备绿色、生态、有机的种植基底。产出农产品兼具生态安全、食药同源特性，高度契合当前国民健康消费、高端绿色消费升级趋势，产品差异化、品质化优势突出；</w:t>
      </w:r>
      <w:r>
        <w:rPr>
          <w:rFonts w:hint="eastAsia" w:ascii="Times New Roman" w:hAnsi="Times New Roman" w:eastAsia="方正仿宋简体" w:cs="方正仿宋简体"/>
          <w:b/>
          <w:sz w:val="32"/>
          <w:szCs w:val="28"/>
          <w:lang w:eastAsia="zh-CN"/>
        </w:rPr>
        <w:t>二是</w:t>
      </w:r>
      <w:r>
        <w:rPr>
          <w:rFonts w:hint="eastAsia" w:ascii="Times New Roman" w:hAnsi="Times New Roman" w:eastAsia="方正仿宋简体" w:cs="方正仿宋简体"/>
          <w:bCs/>
          <w:sz w:val="32"/>
          <w:szCs w:val="28"/>
          <w:lang w:eastAsia="zh-CN"/>
        </w:rPr>
        <w:t>特色种质资源富集。</w:t>
      </w:r>
      <w:bookmarkStart w:id="210" w:name="OLE_LINK171"/>
      <w:r>
        <w:rPr>
          <w:rFonts w:hint="eastAsia" w:ascii="Times New Roman" w:hAnsi="Times New Roman" w:eastAsia="方正仿宋简体" w:cs="方正仿宋简体"/>
          <w:bCs/>
          <w:sz w:val="32"/>
          <w:szCs w:val="28"/>
          <w:lang w:eastAsia="zh-CN"/>
        </w:rPr>
        <w:t>那曲</w:t>
      </w:r>
      <w:bookmarkEnd w:id="210"/>
      <w:r>
        <w:rPr>
          <w:rFonts w:hint="eastAsia" w:ascii="Times New Roman" w:hAnsi="Times New Roman" w:eastAsia="方正仿宋简体" w:cs="方正仿宋简体"/>
          <w:bCs/>
          <w:sz w:val="32"/>
          <w:szCs w:val="28"/>
          <w:lang w:eastAsia="zh-CN"/>
        </w:rPr>
        <w:t>培育形成以青稞、芫根、贝母等道地藏药材、优质饲草、黑美人土豆为主体的特色种植品类体系，部分品种为高海拔区域特有种质，抗寒、耐逆、适应性强，资源稀缺度高、市场辨识度高，具备独特产业化发展价值；</w:t>
      </w:r>
      <w:r>
        <w:rPr>
          <w:rFonts w:hint="eastAsia" w:ascii="Times New Roman" w:hAnsi="Times New Roman" w:eastAsia="方正仿宋简体" w:cs="方正仿宋简体"/>
          <w:b/>
          <w:sz w:val="32"/>
          <w:szCs w:val="28"/>
          <w:lang w:eastAsia="zh-CN"/>
        </w:rPr>
        <w:t>三是</w:t>
      </w:r>
      <w:r>
        <w:rPr>
          <w:rFonts w:hint="eastAsia" w:ascii="Times New Roman" w:hAnsi="Times New Roman" w:eastAsia="方正仿宋简体" w:cs="方正仿宋简体"/>
          <w:bCs/>
          <w:sz w:val="32"/>
          <w:szCs w:val="28"/>
          <w:lang w:eastAsia="zh-CN"/>
        </w:rPr>
        <w:t>水源条件优质洁净。那曲地处长江、怒江等江河源头核心区域，冰川湖泊密布、水系发达，全域灌溉水源洁净、无污染，从源头保障特色种植产品品质安全，为培育绿色有机高端农产品提供优质水环境支撑；</w:t>
      </w:r>
      <w:r>
        <w:rPr>
          <w:rFonts w:hint="eastAsia" w:ascii="Times New Roman" w:hAnsi="Times New Roman" w:eastAsia="方正仿宋简体" w:cs="方正仿宋简体"/>
          <w:b/>
          <w:sz w:val="32"/>
          <w:szCs w:val="28"/>
        </w:rPr>
        <w:t>四是</w:t>
      </w:r>
      <w:r>
        <w:rPr>
          <w:rFonts w:hint="eastAsia" w:ascii="Times New Roman" w:hAnsi="Times New Roman" w:eastAsia="方正仿宋简体" w:cs="方正仿宋简体"/>
          <w:bCs/>
          <w:sz w:val="32"/>
          <w:szCs w:val="28"/>
        </w:rPr>
        <w:t>局地水土气候适配。</w:t>
      </w:r>
      <w:r>
        <w:rPr>
          <w:rFonts w:hint="eastAsia" w:ascii="Times New Roman" w:hAnsi="Times New Roman" w:eastAsia="方正仿宋简体" w:cs="方正仿宋简体"/>
          <w:bCs/>
          <w:sz w:val="32"/>
          <w:szCs w:val="28"/>
          <w:lang w:eastAsia="zh-CN"/>
        </w:rPr>
        <w:t>比如</w:t>
      </w:r>
      <w:r>
        <w:rPr>
          <w:rFonts w:hint="eastAsia" w:ascii="Times New Roman" w:hAnsi="Times New Roman" w:eastAsia="方正仿宋简体" w:cs="方正仿宋简体"/>
          <w:bCs/>
          <w:sz w:val="32"/>
          <w:szCs w:val="28"/>
          <w:lang w:val="en-US" w:eastAsia="zh-CN"/>
        </w:rPr>
        <w:t>县</w:t>
      </w:r>
      <w:r>
        <w:rPr>
          <w:rFonts w:hint="eastAsia" w:ascii="Times New Roman" w:hAnsi="Times New Roman" w:eastAsia="方正仿宋简体" w:cs="方正仿宋简体"/>
          <w:bCs/>
          <w:sz w:val="32"/>
          <w:szCs w:val="28"/>
          <w:lang w:eastAsia="zh-CN"/>
        </w:rPr>
        <w:t>、嘉黎</w:t>
      </w:r>
      <w:r>
        <w:rPr>
          <w:rFonts w:hint="eastAsia" w:ascii="Times New Roman" w:hAnsi="Times New Roman" w:eastAsia="方正仿宋简体" w:cs="方正仿宋简体"/>
          <w:bCs/>
          <w:sz w:val="32"/>
          <w:szCs w:val="28"/>
          <w:lang w:val="en-US" w:eastAsia="zh-CN"/>
        </w:rPr>
        <w:t>县</w:t>
      </w:r>
      <w:r>
        <w:rPr>
          <w:rFonts w:hint="eastAsia" w:ascii="Times New Roman" w:hAnsi="Times New Roman" w:eastAsia="方正仿宋简体" w:cs="方正仿宋简体"/>
          <w:bCs/>
          <w:sz w:val="32"/>
          <w:szCs w:val="28"/>
          <w:lang w:eastAsia="zh-CN"/>
        </w:rPr>
        <w:t>等河谷区域水热条件相对优越，适宜规模化、标准化发展特色种植业。整体高原气候适配耐寒作物生长，有利于作物养分积累、风味积淀、品质提升，显著增强特色农产品市场附加值与核心竞争力。</w:t>
      </w:r>
    </w:p>
    <w:p w14:paraId="7EE2EBC0">
      <w:pPr>
        <w:spacing w:line="576" w:lineRule="exact"/>
        <w:ind w:firstLine="640" w:firstLineChars="200"/>
        <w:jc w:val="both"/>
        <w:outlineLvl w:val="2"/>
        <w:rPr>
          <w:rFonts w:ascii="Times New Roman" w:hAnsi="Times New Roman" w:eastAsia="方正仿宋简体" w:cs="方正仿宋简体"/>
          <w:bCs/>
          <w:sz w:val="32"/>
          <w:szCs w:val="28"/>
          <w:lang w:eastAsia="zh-CN"/>
        </w:rPr>
      </w:pPr>
      <w:bookmarkStart w:id="211" w:name="_Toc243241461"/>
      <w:bookmarkStart w:id="212" w:name="OLE_LINK70"/>
      <w:r>
        <w:rPr>
          <w:rFonts w:hint="eastAsia" w:ascii="Times New Roman" w:hAnsi="Times New Roman" w:eastAsia="方正仿宋简体" w:cs="方正仿宋简体"/>
          <w:bCs/>
          <w:sz w:val="32"/>
          <w:szCs w:val="28"/>
          <w:lang w:eastAsia="zh-CN"/>
        </w:rPr>
        <w:t>2</w:t>
      </w:r>
      <w:r>
        <w:rPr>
          <w:rFonts w:hint="eastAsia" w:ascii="Times New Roman" w:hAnsi="Times New Roman" w:eastAsia="方正仿宋简体" w:cs="方正仿宋简体"/>
          <w:bCs/>
          <w:sz w:val="32"/>
          <w:szCs w:val="28"/>
          <w:lang w:val="en-US"/>
        </w:rPr>
        <w:t>．</w:t>
      </w:r>
      <w:r>
        <w:rPr>
          <w:rFonts w:hint="eastAsia" w:ascii="Times New Roman" w:hAnsi="Times New Roman" w:eastAsia="方正仿宋简体" w:cs="方正仿宋简体"/>
          <w:bCs/>
          <w:sz w:val="32"/>
          <w:szCs w:val="28"/>
          <w:lang w:eastAsia="zh-CN"/>
        </w:rPr>
        <w:t>产业环境</w:t>
      </w:r>
      <w:bookmarkEnd w:id="211"/>
    </w:p>
    <w:p w14:paraId="627B234D">
      <w:pPr>
        <w:spacing w:line="576" w:lineRule="exact"/>
        <w:ind w:firstLine="643" w:firstLineChars="200"/>
        <w:jc w:val="both"/>
        <w:rPr>
          <w:rFonts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
          <w:sz w:val="32"/>
          <w:szCs w:val="28"/>
          <w:lang w:val="en-US" w:eastAsia="zh-CN"/>
        </w:rPr>
        <w:t>一是</w:t>
      </w:r>
      <w:r>
        <w:rPr>
          <w:rFonts w:hint="eastAsia" w:ascii="Times New Roman" w:hAnsi="Times New Roman" w:eastAsia="方正仿宋简体" w:cs="方正仿宋简体"/>
          <w:bCs/>
          <w:sz w:val="32"/>
          <w:szCs w:val="28"/>
          <w:lang w:val="en-US" w:eastAsia="zh-CN"/>
        </w:rPr>
        <w:t>生产基础持续夯实。依托高标准农田建设、设施农业提质增效等项目</w:t>
      </w:r>
      <w:r>
        <w:rPr>
          <w:rFonts w:hint="eastAsia" w:ascii="Times New Roman" w:hAnsi="Times New Roman" w:eastAsia="方正仿宋简体" w:cs="方正仿宋简体"/>
          <w:bCs/>
          <w:sz w:val="32"/>
          <w:szCs w:val="28"/>
          <w:lang w:eastAsia="zh-CN"/>
        </w:rPr>
        <w:t>支撑</w:t>
      </w:r>
      <w:r>
        <w:rPr>
          <w:rFonts w:hint="eastAsia" w:ascii="Times New Roman" w:hAnsi="Times New Roman" w:eastAsia="方正仿宋简体" w:cs="方正仿宋简体"/>
          <w:bCs/>
          <w:sz w:val="32"/>
          <w:szCs w:val="28"/>
          <w:lang w:val="en-US" w:eastAsia="zh-CN"/>
        </w:rPr>
        <w:t>，全市种植业生产基底不断稳固。2025年全市粮食播种面积稳定在4.68万亩，粮食年产量达0.72万吨。同步推进标准化温室大棚、“植物工厂”等设施农业建设，持续突破高海拔、积温不足等自然制约，实现高寒区域特色作物常态化、标准化生产，有效补齐高海拔种植业发展短板；</w:t>
      </w:r>
      <w:bookmarkEnd w:id="212"/>
      <w:r>
        <w:rPr>
          <w:rFonts w:hint="eastAsia" w:ascii="Times New Roman" w:hAnsi="Times New Roman" w:eastAsia="方正仿宋简体" w:cs="方正仿宋简体"/>
          <w:b/>
          <w:sz w:val="32"/>
          <w:szCs w:val="28"/>
          <w:lang w:val="en-US" w:eastAsia="zh-CN"/>
        </w:rPr>
        <w:t>二是</w:t>
      </w:r>
      <w:r>
        <w:rPr>
          <w:rFonts w:hint="eastAsia" w:ascii="Times New Roman" w:hAnsi="Times New Roman" w:eastAsia="方正仿宋简体" w:cs="方正仿宋简体"/>
          <w:bCs/>
          <w:sz w:val="32"/>
          <w:szCs w:val="28"/>
          <w:lang w:val="en-US" w:eastAsia="zh-CN"/>
        </w:rPr>
        <w:t>经营体系日趋成熟。持续培育壮大新型农业经营主体，完善产业化</w:t>
      </w:r>
      <w:r>
        <w:rPr>
          <w:rFonts w:hint="eastAsia" w:ascii="Times New Roman" w:hAnsi="Times New Roman" w:eastAsia="方正仿宋简体" w:cs="方正仿宋简体"/>
          <w:bCs/>
          <w:sz w:val="32"/>
          <w:szCs w:val="28"/>
          <w:lang w:eastAsia="zh-CN"/>
        </w:rPr>
        <w:t>运营</w:t>
      </w:r>
      <w:r>
        <w:rPr>
          <w:rFonts w:hint="eastAsia" w:ascii="Times New Roman" w:hAnsi="Times New Roman" w:eastAsia="方正仿宋简体" w:cs="方正仿宋简体"/>
          <w:bCs/>
          <w:sz w:val="32"/>
          <w:szCs w:val="28"/>
          <w:lang w:val="en-US" w:eastAsia="zh-CN"/>
        </w:rPr>
        <w:t>机制，逐步构建形成“</w:t>
      </w:r>
      <w:bookmarkStart w:id="213" w:name="OLE_LINK75"/>
      <w:bookmarkStart w:id="214" w:name="OLE_LINK125"/>
      <w:r>
        <w:rPr>
          <w:rFonts w:hint="eastAsia" w:ascii="Times New Roman" w:hAnsi="Times New Roman" w:eastAsia="方正仿宋简体" w:cs="方正仿宋简体"/>
          <w:bCs/>
          <w:sz w:val="32"/>
          <w:szCs w:val="28"/>
          <w:lang w:val="en-US" w:eastAsia="zh-CN"/>
        </w:rPr>
        <w:t>龙头</w:t>
      </w:r>
      <w:bookmarkStart w:id="215" w:name="OLE_LINK101"/>
      <w:r>
        <w:rPr>
          <w:rFonts w:hint="eastAsia" w:ascii="Times New Roman" w:hAnsi="Times New Roman" w:eastAsia="方正仿宋简体" w:cs="方正仿宋简体"/>
          <w:bCs/>
          <w:sz w:val="32"/>
          <w:szCs w:val="28"/>
          <w:lang w:val="en-US" w:eastAsia="zh-CN"/>
        </w:rPr>
        <w:t>企业+</w:t>
      </w:r>
      <w:bookmarkEnd w:id="215"/>
      <w:bookmarkStart w:id="216" w:name="OLE_LINK74"/>
      <w:r>
        <w:rPr>
          <w:rFonts w:hint="eastAsia" w:ascii="Times New Roman" w:hAnsi="Times New Roman" w:eastAsia="方正仿宋简体" w:cs="方正仿宋简体"/>
          <w:bCs/>
          <w:sz w:val="32"/>
          <w:szCs w:val="28"/>
          <w:lang w:val="en-US" w:eastAsia="zh-CN"/>
        </w:rPr>
        <w:t>种植合作社+农</w:t>
      </w:r>
      <w:bookmarkEnd w:id="213"/>
      <w:r>
        <w:rPr>
          <w:rFonts w:hint="eastAsia" w:ascii="Times New Roman" w:hAnsi="Times New Roman" w:eastAsia="方正仿宋简体" w:cs="方正仿宋简体"/>
          <w:bCs/>
          <w:sz w:val="32"/>
          <w:szCs w:val="28"/>
          <w:lang w:val="en-US" w:eastAsia="zh-CN"/>
        </w:rPr>
        <w:t>牧户</w:t>
      </w:r>
      <w:bookmarkEnd w:id="214"/>
      <w:bookmarkEnd w:id="216"/>
      <w:r>
        <w:rPr>
          <w:rFonts w:hint="eastAsia" w:ascii="Times New Roman" w:hAnsi="Times New Roman" w:eastAsia="方正仿宋简体" w:cs="方正仿宋简体"/>
          <w:bCs/>
          <w:sz w:val="32"/>
          <w:szCs w:val="28"/>
          <w:lang w:val="en-US" w:eastAsia="zh-CN"/>
        </w:rPr>
        <w:t>”的成熟发展模式。依托国家级农牧业产业园引领辐射，统筹自治区级、市级龙头企业、专业合作社、家庭牧场协同发展，产业规模化、组织化、集约化水平持续提升，为特色种植业标准化生产、产业化经营、市场化运作提供坚实主体支撑；</w:t>
      </w:r>
      <w:r>
        <w:rPr>
          <w:rFonts w:hint="eastAsia" w:ascii="Times New Roman" w:hAnsi="Times New Roman" w:eastAsia="方正仿宋简体" w:cs="方正仿宋简体"/>
          <w:b/>
          <w:sz w:val="32"/>
          <w:szCs w:val="28"/>
          <w:lang w:val="en-US" w:eastAsia="zh-CN"/>
        </w:rPr>
        <w:t>三是</w:t>
      </w:r>
      <w:r>
        <w:rPr>
          <w:rFonts w:hint="eastAsia" w:ascii="Times New Roman" w:hAnsi="Times New Roman" w:eastAsia="方正仿宋简体" w:cs="方正仿宋简体"/>
          <w:bCs/>
          <w:sz w:val="32"/>
          <w:szCs w:val="28"/>
          <w:lang w:val="en-US" w:eastAsia="zh-CN"/>
        </w:rPr>
        <w:t>技术赋能成效凸显。深化产学研协同创新，积极对接中科院等高端</w:t>
      </w:r>
      <w:r>
        <w:rPr>
          <w:rFonts w:hint="eastAsia" w:ascii="Times New Roman" w:hAnsi="Times New Roman" w:eastAsia="方正仿宋简体" w:cs="方正仿宋简体"/>
          <w:bCs/>
          <w:sz w:val="32"/>
          <w:szCs w:val="28"/>
          <w:lang w:eastAsia="zh-CN"/>
        </w:rPr>
        <w:t>科研院所</w:t>
      </w:r>
      <w:r>
        <w:rPr>
          <w:rFonts w:hint="eastAsia" w:ascii="Times New Roman" w:hAnsi="Times New Roman" w:eastAsia="方正仿宋简体" w:cs="方正仿宋简体"/>
          <w:bCs/>
          <w:sz w:val="32"/>
          <w:szCs w:val="28"/>
          <w:lang w:val="en-US" w:eastAsia="zh-CN"/>
        </w:rPr>
        <w:t>，</w:t>
      </w:r>
      <w:bookmarkStart w:id="217" w:name="OLE_LINK78"/>
      <w:r>
        <w:rPr>
          <w:rFonts w:ascii="Times New Roman" w:hAnsi="Times New Roman" w:eastAsia="方正仿宋简体" w:cs="方正仿宋简体"/>
          <w:bCs/>
          <w:sz w:val="32"/>
          <w:szCs w:val="28"/>
          <w:lang w:eastAsia="zh-CN"/>
        </w:rPr>
        <w:t>聚力破解</w:t>
      </w:r>
      <w:bookmarkStart w:id="218" w:name="OLE_LINK89"/>
      <w:r>
        <w:rPr>
          <w:rFonts w:ascii="Times New Roman" w:hAnsi="Times New Roman" w:eastAsia="方正仿宋简体" w:cs="方正仿宋简体"/>
          <w:bCs/>
          <w:sz w:val="32"/>
          <w:szCs w:val="28"/>
          <w:lang w:eastAsia="zh-CN"/>
        </w:rPr>
        <w:t>高寒冻土、积温欠缺、光照利用效率不高</w:t>
      </w:r>
      <w:bookmarkEnd w:id="218"/>
      <w:r>
        <w:rPr>
          <w:rFonts w:ascii="Times New Roman" w:hAnsi="Times New Roman" w:eastAsia="方正仿宋简体" w:cs="方正仿宋简体"/>
          <w:bCs/>
          <w:sz w:val="32"/>
          <w:szCs w:val="28"/>
          <w:lang w:eastAsia="zh-CN"/>
        </w:rPr>
        <w:t>等高海拔种植制约难题。</w:t>
      </w:r>
      <w:bookmarkEnd w:id="217"/>
      <w:r>
        <w:rPr>
          <w:rFonts w:hint="eastAsia" w:ascii="Times New Roman" w:hAnsi="Times New Roman" w:eastAsia="方正仿宋简体" w:cs="方正仿宋简体"/>
          <w:bCs/>
          <w:sz w:val="32"/>
          <w:szCs w:val="28"/>
          <w:lang w:val="en-US" w:eastAsia="zh-CN"/>
        </w:rPr>
        <w:t>先后实现芫根、特色土豆等作物规模化试种突破，种质改良、适配技术集成、标准化种植体系加快推广落地，全面激活高海拔种植业科技赋能动能；</w:t>
      </w:r>
      <w:r>
        <w:rPr>
          <w:rFonts w:hint="eastAsia" w:ascii="Times New Roman" w:hAnsi="Times New Roman" w:eastAsia="方正仿宋简体" w:cs="方正仿宋简体"/>
          <w:b/>
          <w:sz w:val="32"/>
          <w:szCs w:val="28"/>
          <w:lang w:val="en-US" w:eastAsia="zh-CN"/>
        </w:rPr>
        <w:t>四是</w:t>
      </w:r>
      <w:r>
        <w:rPr>
          <w:rFonts w:hint="eastAsia" w:ascii="Times New Roman" w:hAnsi="Times New Roman" w:eastAsia="方正仿宋简体" w:cs="方正仿宋简体"/>
          <w:bCs/>
          <w:sz w:val="32"/>
          <w:szCs w:val="28"/>
          <w:lang w:val="en-US" w:eastAsia="zh-CN"/>
        </w:rPr>
        <w:t>市场空间持续拓宽。依托纯净高寒生态禀赋，那曲原生态、无污染的高原特色农产品市场辨识度、认可度持续提升。芫根深加工</w:t>
      </w:r>
      <w:r>
        <w:rPr>
          <w:rFonts w:hint="eastAsia" w:ascii="Times New Roman" w:hAnsi="Times New Roman" w:eastAsia="方正仿宋简体" w:cs="方正仿宋简体"/>
          <w:bCs/>
          <w:sz w:val="32"/>
          <w:szCs w:val="28"/>
          <w:lang w:eastAsia="zh-CN"/>
        </w:rPr>
        <w:t>产品</w:t>
      </w:r>
      <w:r>
        <w:rPr>
          <w:rFonts w:hint="eastAsia" w:ascii="Times New Roman" w:hAnsi="Times New Roman" w:eastAsia="方正仿宋简体" w:cs="方正仿宋简体"/>
          <w:bCs/>
          <w:sz w:val="32"/>
          <w:szCs w:val="28"/>
          <w:lang w:val="en-US" w:eastAsia="zh-CN"/>
        </w:rPr>
        <w:t>、特色果蔬等优质农品市场销路持续走俏，依托电商平台、线上直播等新业态畅通全国销售渠道，产品高端溢价优势明显，产业市场化发展潜力充足。</w:t>
      </w:r>
    </w:p>
    <w:p w14:paraId="2906393C">
      <w:pPr>
        <w:spacing w:line="576" w:lineRule="exact"/>
        <w:ind w:firstLine="640" w:firstLineChars="200"/>
        <w:jc w:val="both"/>
        <w:outlineLvl w:val="2"/>
        <w:rPr>
          <w:rFonts w:ascii="Times New Roman" w:hAnsi="Times New Roman" w:eastAsia="方正仿宋简体" w:cs="方正仿宋简体"/>
          <w:bCs/>
          <w:sz w:val="32"/>
          <w:szCs w:val="28"/>
          <w:lang w:eastAsia="zh-CN"/>
        </w:rPr>
      </w:pPr>
      <w:bookmarkStart w:id="219" w:name="_Toc243241462"/>
      <w:r>
        <w:rPr>
          <w:rFonts w:hint="eastAsia" w:ascii="Times New Roman" w:hAnsi="Times New Roman" w:eastAsia="方正仿宋简体" w:cs="方正仿宋简体"/>
          <w:bCs/>
          <w:sz w:val="32"/>
          <w:szCs w:val="28"/>
          <w:lang w:eastAsia="zh-CN"/>
        </w:rPr>
        <w:t>3</w:t>
      </w:r>
      <w:r>
        <w:rPr>
          <w:rFonts w:hint="eastAsia" w:ascii="Times New Roman" w:hAnsi="Times New Roman" w:eastAsia="方正仿宋简体" w:cs="方正仿宋简体"/>
          <w:bCs/>
          <w:sz w:val="32"/>
          <w:szCs w:val="28"/>
          <w:lang w:val="en-US"/>
        </w:rPr>
        <w:t>．</w:t>
      </w:r>
      <w:r>
        <w:rPr>
          <w:rFonts w:hint="eastAsia" w:ascii="Times New Roman" w:hAnsi="Times New Roman" w:eastAsia="方正仿宋简体" w:cs="方正仿宋简体"/>
          <w:bCs/>
          <w:sz w:val="32"/>
          <w:szCs w:val="28"/>
          <w:lang w:eastAsia="zh-CN"/>
        </w:rPr>
        <w:t>政策支持</w:t>
      </w:r>
      <w:bookmarkEnd w:id="219"/>
    </w:p>
    <w:p w14:paraId="6ECE7ABA">
      <w:pPr>
        <w:spacing w:line="576" w:lineRule="exact"/>
        <w:ind w:firstLine="643" w:firstLineChars="200"/>
        <w:jc w:val="both"/>
        <w:rPr>
          <w:rFonts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
          <w:sz w:val="32"/>
          <w:szCs w:val="28"/>
          <w:lang w:val="en-US" w:eastAsia="zh-CN"/>
        </w:rPr>
        <w:t>一是</w:t>
      </w:r>
      <w:r>
        <w:rPr>
          <w:rFonts w:hint="eastAsia" w:ascii="Times New Roman" w:hAnsi="Times New Roman" w:eastAsia="方正仿宋简体" w:cs="方正仿宋简体"/>
          <w:bCs/>
          <w:sz w:val="32"/>
          <w:szCs w:val="28"/>
          <w:lang w:val="en-US" w:eastAsia="zh-CN"/>
        </w:rPr>
        <w:t>国家层面战略赋能。那曲高原特色种植业纳入西藏高原特色农业总体发展规划，全面享受西部大开发、乡村振兴、高原生态保护等多重国家政策红利。国家持续加大生态保护补偿资金投入，为全市特色种植业生态化、标准化、可持续发展提供坚实的顶层政策支撑和资金保障；</w:t>
      </w:r>
      <w:r>
        <w:rPr>
          <w:rFonts w:hint="eastAsia" w:ascii="Times New Roman" w:hAnsi="Times New Roman" w:eastAsia="方正仿宋简体" w:cs="方正仿宋简体"/>
          <w:b/>
          <w:sz w:val="32"/>
          <w:szCs w:val="28"/>
          <w:lang w:val="en-US" w:eastAsia="zh-CN"/>
        </w:rPr>
        <w:t>二是</w:t>
      </w:r>
      <w:r>
        <w:rPr>
          <w:rFonts w:hint="eastAsia" w:ascii="Times New Roman" w:hAnsi="Times New Roman" w:eastAsia="方正仿宋简体" w:cs="方正仿宋简体"/>
          <w:bCs/>
          <w:sz w:val="32"/>
          <w:szCs w:val="28"/>
          <w:lang w:val="en-US" w:eastAsia="zh-CN"/>
        </w:rPr>
        <w:t>自治区层面精准施策。严格落实“藏粮于地、藏粮于技”发展战略，常态化执行青稞价格与补贴分离机制，全面落地良种推广补贴、高标准农田建设、农业技术升级等专项扶持政策，从资金投入、技术赋能、基地建设等多维度强化保障，持续夯实高原特色种植业发展基础；</w:t>
      </w:r>
      <w:bookmarkStart w:id="220" w:name="OLE_LINK90"/>
      <w:r>
        <w:rPr>
          <w:rFonts w:hint="eastAsia" w:ascii="Times New Roman" w:hAnsi="Times New Roman" w:eastAsia="方正仿宋简体" w:cs="方正仿宋简体"/>
          <w:b/>
          <w:sz w:val="32"/>
          <w:szCs w:val="28"/>
          <w:lang w:val="en-US" w:eastAsia="zh-CN"/>
        </w:rPr>
        <w:t>三是</w:t>
      </w:r>
      <w:r>
        <w:rPr>
          <w:rFonts w:hint="eastAsia" w:ascii="Times New Roman" w:hAnsi="Times New Roman" w:eastAsia="方正仿宋简体" w:cs="方正仿宋简体"/>
          <w:bCs/>
          <w:sz w:val="32"/>
          <w:szCs w:val="28"/>
          <w:lang w:val="en-US" w:eastAsia="zh-CN"/>
        </w:rPr>
        <w:t>市级层面落地托底。市级配套出台精准惠农扶持政策，健全种植产业全链条奖补体系，其中青稞良种补贴每亩不低于20元，其他特色农作物补贴每亩不低于10元。</w:t>
      </w:r>
      <w:bookmarkEnd w:id="220"/>
      <w:r>
        <w:rPr>
          <w:rFonts w:hint="eastAsia" w:ascii="Times New Roman" w:hAnsi="Times New Roman" w:eastAsia="方正仿宋简体" w:cs="方正仿宋简体"/>
          <w:bCs/>
          <w:sz w:val="32"/>
          <w:szCs w:val="28"/>
          <w:lang w:val="en-US" w:eastAsia="zh-CN"/>
        </w:rPr>
        <w:t>重点倾斜扶持“黑美人”土豆等特色优势品种示范推广，统筹推进高标准农田提质改造、撂荒地整治复耕，持续优化种植业生产格局。同步加大农畜产品精深加工扶持力度，聚力推动种植业产业链延伸、价值链提升，力争全市农畜产品加工总产值突破2亿元。</w:t>
      </w:r>
    </w:p>
    <w:p w14:paraId="024719CD">
      <w:pPr>
        <w:spacing w:line="576" w:lineRule="exact"/>
        <w:ind w:firstLine="640" w:firstLineChars="200"/>
        <w:jc w:val="both"/>
        <w:outlineLvl w:val="2"/>
        <w:rPr>
          <w:rFonts w:ascii="Times New Roman" w:hAnsi="Times New Roman" w:eastAsia="方正仿宋简体" w:cs="方正仿宋简体"/>
          <w:bCs/>
          <w:sz w:val="32"/>
          <w:szCs w:val="28"/>
          <w:lang w:eastAsia="zh-CN"/>
        </w:rPr>
      </w:pPr>
      <w:bookmarkStart w:id="221" w:name="_Toc243241463"/>
      <w:r>
        <w:rPr>
          <w:rFonts w:hint="eastAsia" w:ascii="Times New Roman" w:hAnsi="Times New Roman" w:eastAsia="方正仿宋简体" w:cs="方正仿宋简体"/>
          <w:bCs/>
          <w:sz w:val="32"/>
          <w:szCs w:val="28"/>
          <w:lang w:eastAsia="zh-CN"/>
        </w:rPr>
        <w:t>4</w:t>
      </w:r>
      <w:r>
        <w:rPr>
          <w:rFonts w:hint="eastAsia" w:ascii="Times New Roman" w:hAnsi="Times New Roman" w:eastAsia="方正仿宋简体" w:cs="方正仿宋简体"/>
          <w:bCs/>
          <w:sz w:val="32"/>
          <w:szCs w:val="28"/>
          <w:lang w:val="en-US"/>
        </w:rPr>
        <w:t>．</w:t>
      </w:r>
      <w:r>
        <w:rPr>
          <w:rFonts w:hint="eastAsia" w:ascii="Times New Roman" w:hAnsi="Times New Roman" w:eastAsia="方正仿宋简体" w:cs="方正仿宋简体"/>
          <w:bCs/>
          <w:sz w:val="32"/>
          <w:szCs w:val="28"/>
          <w:lang w:eastAsia="zh-CN"/>
        </w:rPr>
        <w:t>竞争力</w:t>
      </w:r>
      <w:bookmarkEnd w:id="221"/>
    </w:p>
    <w:p w14:paraId="7CB5740F">
      <w:pPr>
        <w:spacing w:line="576" w:lineRule="exact"/>
        <w:ind w:firstLine="643" w:firstLineChars="200"/>
        <w:jc w:val="both"/>
        <w:rPr>
          <w:rFonts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
          <w:sz w:val="32"/>
          <w:szCs w:val="28"/>
          <w:lang w:val="en-US" w:eastAsia="zh-CN"/>
        </w:rPr>
        <w:t>一是</w:t>
      </w:r>
      <w:r>
        <w:rPr>
          <w:rFonts w:hint="eastAsia" w:ascii="Times New Roman" w:hAnsi="Times New Roman" w:eastAsia="方正仿宋简体" w:cs="方正仿宋简体"/>
          <w:bCs/>
          <w:sz w:val="32"/>
          <w:szCs w:val="28"/>
          <w:lang w:val="en-US" w:eastAsia="zh-CN"/>
        </w:rPr>
        <w:t>生态稀缺优势不可替代。那曲高海拔、低干扰、原生态的生长环境具有极强的唯一性和不可复制性，种植产出农产品天然绿色、生态有机，产品品质背书含金量高、市场辨识度强、品牌溢价空间显著，形成区别于区外农产品的核心差异化竞争壁垒；</w:t>
      </w:r>
      <w:r>
        <w:rPr>
          <w:rFonts w:hint="eastAsia" w:ascii="Times New Roman" w:hAnsi="Times New Roman" w:eastAsia="方正仿宋简体" w:cs="方正仿宋简体"/>
          <w:b/>
          <w:sz w:val="32"/>
          <w:szCs w:val="28"/>
          <w:lang w:val="en-US" w:eastAsia="zh-CN"/>
        </w:rPr>
        <w:t>二是</w:t>
      </w:r>
      <w:r>
        <w:rPr>
          <w:rFonts w:hint="eastAsia" w:ascii="Times New Roman" w:hAnsi="Times New Roman" w:eastAsia="方正仿宋简体" w:cs="方正仿宋简体"/>
          <w:bCs/>
          <w:sz w:val="32"/>
          <w:szCs w:val="28"/>
          <w:lang w:val="en-US" w:eastAsia="zh-CN"/>
        </w:rPr>
        <w:t>产业链条持续延伸增值。全市特色种植业逐步摆脱单一原料输出模式，稳步向芫根功能食品、青稞精深制品、道地藏药材深加工等高附加值业态延伸。依托成熟的“龙头企业+种植合作社+农牧户”产业化运营模式，保障原料供给规模化、标准化、稳定化，持续提升产业综合附加值和整体效益。</w:t>
      </w:r>
    </w:p>
    <w:p w14:paraId="58325232">
      <w:pPr>
        <w:spacing w:line="576" w:lineRule="exact"/>
        <w:ind w:firstLine="640" w:firstLineChars="200"/>
        <w:jc w:val="both"/>
        <w:outlineLvl w:val="2"/>
        <w:rPr>
          <w:rFonts w:ascii="Times New Roman" w:hAnsi="Times New Roman" w:eastAsia="方正仿宋简体" w:cs="方正仿宋简体"/>
          <w:bCs/>
          <w:sz w:val="32"/>
          <w:szCs w:val="28"/>
          <w:lang w:eastAsia="zh-CN"/>
        </w:rPr>
      </w:pPr>
      <w:bookmarkStart w:id="222" w:name="_Toc243241464"/>
      <w:r>
        <w:rPr>
          <w:rFonts w:hint="eastAsia" w:ascii="Times New Roman" w:hAnsi="Times New Roman" w:eastAsia="方正仿宋简体" w:cs="方正仿宋简体"/>
          <w:bCs/>
          <w:sz w:val="32"/>
          <w:szCs w:val="28"/>
          <w:lang w:eastAsia="zh-CN"/>
        </w:rPr>
        <w:t>5</w:t>
      </w:r>
      <w:r>
        <w:rPr>
          <w:rFonts w:hint="eastAsia" w:ascii="Times New Roman" w:hAnsi="Times New Roman" w:eastAsia="方正仿宋简体" w:cs="方正仿宋简体"/>
          <w:bCs/>
          <w:sz w:val="32"/>
          <w:szCs w:val="28"/>
          <w:lang w:val="en-US"/>
        </w:rPr>
        <w:t>．</w:t>
      </w:r>
      <w:r>
        <w:rPr>
          <w:rFonts w:hint="eastAsia" w:ascii="Times New Roman" w:hAnsi="Times New Roman" w:eastAsia="方正仿宋简体" w:cs="方正仿宋简体"/>
          <w:bCs/>
          <w:sz w:val="32"/>
          <w:szCs w:val="28"/>
          <w:lang w:eastAsia="zh-CN"/>
        </w:rPr>
        <w:t>发展潜力</w:t>
      </w:r>
      <w:bookmarkEnd w:id="222"/>
    </w:p>
    <w:p w14:paraId="1D88248E">
      <w:pPr>
        <w:spacing w:line="576" w:lineRule="exact"/>
        <w:ind w:firstLine="643" w:firstLineChars="200"/>
        <w:jc w:val="both"/>
        <w:rPr>
          <w:rFonts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
          <w:sz w:val="32"/>
          <w:szCs w:val="28"/>
          <w:lang w:val="en-US" w:eastAsia="zh-CN"/>
        </w:rPr>
        <w:t>一是</w:t>
      </w:r>
      <w:r>
        <w:rPr>
          <w:rFonts w:hint="eastAsia" w:ascii="Times New Roman" w:hAnsi="Times New Roman" w:eastAsia="方正仿宋简体" w:cs="方正仿宋简体"/>
          <w:bCs/>
          <w:sz w:val="32"/>
          <w:szCs w:val="28"/>
          <w:lang w:val="en-US" w:eastAsia="zh-CN"/>
        </w:rPr>
        <w:t>精深加工潜力持续释放。持续扩大青稞、芫根、藏药材等优势品种深加工产业规模，重点开发功能性食品、康养制品等高附加值产品，不断拉长产业链、提升价值链，以产业提质增效带动农牧民持续稳定增收；</w:t>
      </w:r>
      <w:r>
        <w:rPr>
          <w:rFonts w:hint="eastAsia" w:ascii="Times New Roman" w:hAnsi="Times New Roman" w:eastAsia="方正仿宋简体" w:cs="方正仿宋简体"/>
          <w:b/>
          <w:sz w:val="32"/>
          <w:szCs w:val="28"/>
          <w:lang w:val="en-US" w:eastAsia="zh-CN"/>
        </w:rPr>
        <w:t>二是</w:t>
      </w:r>
      <w:r>
        <w:rPr>
          <w:rFonts w:hint="eastAsia" w:ascii="Times New Roman" w:hAnsi="Times New Roman" w:eastAsia="方正仿宋简体" w:cs="方正仿宋简体"/>
          <w:bCs/>
          <w:sz w:val="32"/>
          <w:szCs w:val="28"/>
          <w:lang w:val="en-US" w:eastAsia="zh-CN"/>
        </w:rPr>
        <w:t>设施农业扩容空间充足。稳步推广标准化温室大棚、智能“植物工厂”等设施农业模式，有效突破高海拔</w:t>
      </w:r>
      <w:r>
        <w:rPr>
          <w:rFonts w:hint="eastAsia" w:ascii="Times New Roman" w:hAnsi="Times New Roman" w:eastAsia="方正仿宋简体" w:cs="方正仿宋简体"/>
          <w:bCs/>
          <w:sz w:val="32"/>
          <w:szCs w:val="28"/>
          <w:lang w:eastAsia="zh-CN"/>
        </w:rPr>
        <w:t>高寒冻土、积温欠缺、光照利用效率不高</w:t>
      </w:r>
      <w:r>
        <w:rPr>
          <w:rFonts w:hint="eastAsia" w:ascii="Times New Roman" w:hAnsi="Times New Roman" w:eastAsia="方正仿宋简体" w:cs="方正仿宋简体"/>
          <w:bCs/>
          <w:sz w:val="32"/>
          <w:szCs w:val="28"/>
          <w:lang w:val="en-US" w:eastAsia="zh-CN"/>
        </w:rPr>
        <w:t>、季节性短缺等自然瓶颈，实现特色果蔬、耐寒作物全年稳产稳供，持续提升高原农产品自主保障能力；</w:t>
      </w:r>
      <w:r>
        <w:rPr>
          <w:rFonts w:hint="eastAsia" w:ascii="Times New Roman" w:hAnsi="Times New Roman" w:eastAsia="方正仿宋简体" w:cs="方正仿宋简体"/>
          <w:b/>
          <w:sz w:val="32"/>
          <w:szCs w:val="28"/>
          <w:lang w:val="en-US" w:eastAsia="zh-CN"/>
        </w:rPr>
        <w:t>三是</w:t>
      </w:r>
      <w:r>
        <w:rPr>
          <w:rFonts w:hint="eastAsia" w:ascii="Times New Roman" w:hAnsi="Times New Roman" w:eastAsia="方正仿宋简体" w:cs="方正仿宋简体"/>
          <w:bCs/>
          <w:sz w:val="32"/>
          <w:szCs w:val="28"/>
          <w:lang w:val="en-US" w:eastAsia="zh-CN"/>
        </w:rPr>
        <w:t>特色种质资源价值凸显。深度挖掘青稞、芫根、道地藏药材等本土优异种质资源，系统开展品种培优、良种繁育、驯化推广，加快构建高原特色种业体系，打造高海拔种质资源保护利用示范高地，夯实产业长远发展种源根基；</w:t>
      </w:r>
      <w:r>
        <w:rPr>
          <w:rFonts w:hint="eastAsia" w:ascii="Times New Roman" w:hAnsi="Times New Roman" w:eastAsia="方正仿宋简体" w:cs="方正仿宋简体"/>
          <w:b/>
          <w:sz w:val="32"/>
          <w:szCs w:val="28"/>
          <w:lang w:val="en-US" w:eastAsia="zh-CN"/>
        </w:rPr>
        <w:t>四是</w:t>
      </w:r>
      <w:r>
        <w:rPr>
          <w:rFonts w:hint="eastAsia" w:ascii="Times New Roman" w:hAnsi="Times New Roman" w:eastAsia="方正仿宋简体" w:cs="方正仿宋简体"/>
          <w:bCs/>
          <w:sz w:val="32"/>
          <w:szCs w:val="28"/>
          <w:lang w:val="en-US" w:eastAsia="zh-CN"/>
        </w:rPr>
        <w:t>三产融合业态不断丰富。推动特色种植业与生态旅游、田园采摘、民俗体验、乡土文化深度融合，积极培育休闲观光农业、农事体验、文创产品等新兴业态，构建“种植+加工+文旅”一体化产业生态，持续拓宽产业增值空间和群众多元增收渠道。</w:t>
      </w:r>
    </w:p>
    <w:p w14:paraId="0AEF0DA4">
      <w:pPr>
        <w:widowControl/>
        <w:spacing w:line="576" w:lineRule="exact"/>
        <w:jc w:val="center"/>
        <w:rPr>
          <w:rFonts w:ascii="Times New Roman" w:hAnsi="Times New Roman" w:eastAsia="方正仿宋简体" w:cs="方正仿宋简体"/>
          <w:b/>
          <w:sz w:val="32"/>
          <w:szCs w:val="32"/>
          <w:lang w:eastAsia="zh-CN"/>
        </w:rPr>
      </w:pPr>
      <w:r>
        <w:rPr>
          <w:rFonts w:hint="eastAsia" w:ascii="Times New Roman" w:hAnsi="Times New Roman" w:eastAsia="方正仿宋简体" w:cs="方正仿宋简体"/>
          <w:b/>
          <w:sz w:val="32"/>
          <w:szCs w:val="32"/>
          <w:lang w:eastAsia="zh-CN"/>
        </w:rPr>
        <w:t>那曲市特色种植业发展要点清单</w:t>
      </w:r>
    </w:p>
    <w:tbl>
      <w:tblPr>
        <w:tblStyle w:val="22"/>
        <w:tblW w:w="88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8"/>
        <w:gridCol w:w="1328"/>
        <w:gridCol w:w="2686"/>
        <w:gridCol w:w="2616"/>
        <w:gridCol w:w="1468"/>
      </w:tblGrid>
      <w:tr w14:paraId="6A2E3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758" w:type="dxa"/>
            <w:vAlign w:val="center"/>
          </w:tcPr>
          <w:p w14:paraId="0FEB0CF2">
            <w:pPr>
              <w:widowControl/>
              <w:spacing w:line="352"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rPr>
              <w:t>维度</w:t>
            </w:r>
          </w:p>
        </w:tc>
        <w:tc>
          <w:tcPr>
            <w:tcW w:w="1328" w:type="dxa"/>
            <w:vAlign w:val="center"/>
          </w:tcPr>
          <w:p w14:paraId="475C5483">
            <w:pPr>
              <w:widowControl/>
              <w:spacing w:line="352"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rPr>
              <w:t>关键指标</w:t>
            </w:r>
          </w:p>
        </w:tc>
        <w:tc>
          <w:tcPr>
            <w:tcW w:w="2686" w:type="dxa"/>
            <w:vAlign w:val="center"/>
          </w:tcPr>
          <w:p w14:paraId="3C231310">
            <w:pPr>
              <w:widowControl/>
              <w:spacing w:line="352" w:lineRule="exact"/>
              <w:jc w:val="center"/>
              <w:rPr>
                <w:rFonts w:ascii="Times New Roman" w:hAnsi="Times New Roman" w:eastAsia="方正仿宋简体" w:cs="方正仿宋简体"/>
                <w:b/>
                <w:sz w:val="24"/>
                <w:szCs w:val="24"/>
              </w:rPr>
            </w:pPr>
            <w:r>
              <w:rPr>
                <w:rFonts w:hint="eastAsia" w:ascii="Times New Roman" w:hAnsi="Times New Roman" w:eastAsia="方正仿宋简体" w:cs="方正仿宋简体"/>
                <w:b/>
                <w:sz w:val="24"/>
                <w:szCs w:val="24"/>
              </w:rPr>
              <w:t>重点任务</w:t>
            </w:r>
          </w:p>
        </w:tc>
        <w:tc>
          <w:tcPr>
            <w:tcW w:w="2616" w:type="dxa"/>
            <w:vAlign w:val="center"/>
          </w:tcPr>
          <w:p w14:paraId="289F0EC0">
            <w:pPr>
              <w:widowControl/>
              <w:spacing w:line="352"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rPr>
              <w:t>政策支持</w:t>
            </w:r>
          </w:p>
        </w:tc>
        <w:tc>
          <w:tcPr>
            <w:tcW w:w="1468" w:type="dxa"/>
            <w:vAlign w:val="center"/>
          </w:tcPr>
          <w:p w14:paraId="7905AF97">
            <w:pPr>
              <w:widowControl/>
              <w:spacing w:line="352"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rPr>
              <w:t>实施步骤</w:t>
            </w:r>
          </w:p>
        </w:tc>
      </w:tr>
      <w:tr w14:paraId="3DE70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2" w:hRule="atLeast"/>
        </w:trPr>
        <w:tc>
          <w:tcPr>
            <w:tcW w:w="758" w:type="dxa"/>
            <w:vAlign w:val="center"/>
          </w:tcPr>
          <w:p w14:paraId="0B088455">
            <w:pPr>
              <w:widowControl/>
              <w:spacing w:line="270" w:lineRule="exact"/>
              <w:jc w:val="center"/>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资源利用</w:t>
            </w:r>
          </w:p>
        </w:tc>
        <w:tc>
          <w:tcPr>
            <w:tcW w:w="1328" w:type="dxa"/>
            <w:vAlign w:val="center"/>
          </w:tcPr>
          <w:p w14:paraId="60C96F11">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高海拔洁净生态、特有抗逆性种质</w:t>
            </w:r>
          </w:p>
        </w:tc>
        <w:tc>
          <w:tcPr>
            <w:tcW w:w="2686" w:type="dxa"/>
            <w:vAlign w:val="center"/>
          </w:tcPr>
          <w:p w14:paraId="2AB6D63D">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1．划定绿色有机种植核心区；</w:t>
            </w:r>
          </w:p>
          <w:p w14:paraId="4345ADB0">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2．保护青稞、芫根等特色种质资源；</w:t>
            </w:r>
          </w:p>
          <w:p w14:paraId="6325165F">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3．利用江河源头优质水源灌溉。</w:t>
            </w:r>
          </w:p>
        </w:tc>
        <w:tc>
          <w:tcPr>
            <w:tcW w:w="2616" w:type="dxa"/>
            <w:vAlign w:val="center"/>
          </w:tcPr>
          <w:p w14:paraId="20D827C2">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1．</w:t>
            </w:r>
            <w:r>
              <w:rPr>
                <w:rFonts w:ascii="Times New Roman" w:hAnsi="Times New Roman" w:eastAsia="方正仿宋简体" w:cs="方正仿宋简体"/>
                <w:bCs/>
                <w:sz w:val="21"/>
                <w:szCs w:val="21"/>
                <w:lang w:eastAsia="zh-CN"/>
              </w:rPr>
              <w:t>中央草原生态保护补助奖励资金；</w:t>
            </w:r>
          </w:p>
          <w:p w14:paraId="1F7A10E0">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2．</w:t>
            </w:r>
            <w:r>
              <w:rPr>
                <w:rFonts w:ascii="Times New Roman" w:hAnsi="Times New Roman" w:eastAsia="方正仿宋简体" w:cs="方正仿宋简体"/>
                <w:bCs/>
                <w:sz w:val="21"/>
                <w:szCs w:val="21"/>
                <w:lang w:eastAsia="zh-CN"/>
              </w:rPr>
              <w:t>草原生态保护恢复资金。</w:t>
            </w:r>
          </w:p>
        </w:tc>
        <w:tc>
          <w:tcPr>
            <w:tcW w:w="1468" w:type="dxa"/>
            <w:vAlign w:val="center"/>
          </w:tcPr>
          <w:p w14:paraId="28E61B39">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1．完成种植区生态认证；</w:t>
            </w:r>
          </w:p>
          <w:p w14:paraId="1EAF15E0">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2．建立种质资源库。</w:t>
            </w:r>
          </w:p>
        </w:tc>
      </w:tr>
      <w:tr w14:paraId="75032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4" w:hRule="atLeast"/>
        </w:trPr>
        <w:tc>
          <w:tcPr>
            <w:tcW w:w="758" w:type="dxa"/>
            <w:vAlign w:val="center"/>
          </w:tcPr>
          <w:p w14:paraId="62FA9517">
            <w:pPr>
              <w:widowControl/>
              <w:spacing w:line="270" w:lineRule="exact"/>
              <w:jc w:val="center"/>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产业基础</w:t>
            </w:r>
          </w:p>
        </w:tc>
        <w:tc>
          <w:tcPr>
            <w:tcW w:w="1328" w:type="dxa"/>
            <w:vAlign w:val="center"/>
          </w:tcPr>
          <w:p w14:paraId="42368D0A">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高标准农田规模、设施农业覆盖率</w:t>
            </w:r>
          </w:p>
        </w:tc>
        <w:tc>
          <w:tcPr>
            <w:tcW w:w="2686" w:type="dxa"/>
            <w:vAlign w:val="center"/>
          </w:tcPr>
          <w:p w14:paraId="41CD91DF">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1．推进4</w:t>
            </w:r>
            <w:r>
              <w:rPr>
                <w:rFonts w:hint="eastAsia" w:ascii="Times New Roman" w:hAnsi="Times New Roman" w:eastAsia="方正仿宋简体" w:cs="方正仿宋简体"/>
                <w:bCs/>
                <w:sz w:val="21"/>
                <w:szCs w:val="21"/>
                <w:lang w:val="en-US" w:eastAsia="zh-CN"/>
              </w:rPr>
              <w:t>.</w:t>
            </w:r>
            <w:r>
              <w:rPr>
                <w:rFonts w:hint="eastAsia" w:ascii="Times New Roman" w:hAnsi="Times New Roman" w:eastAsia="方正仿宋简体" w:cs="方正仿宋简体"/>
                <w:bCs/>
                <w:sz w:val="21"/>
                <w:szCs w:val="21"/>
                <w:lang w:eastAsia="zh-CN"/>
              </w:rPr>
              <w:t>68万亩粮食种植基地提质；</w:t>
            </w:r>
          </w:p>
          <w:p w14:paraId="0661FEAB">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2．推广温室大棚/植物工厂，突破海拔限制；</w:t>
            </w:r>
          </w:p>
          <w:p w14:paraId="787393C0">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val="en-US" w:eastAsia="zh-CN"/>
              </w:rPr>
              <w:t>3</w:t>
            </w:r>
            <w:r>
              <w:rPr>
                <w:rFonts w:hint="eastAsia" w:ascii="Times New Roman" w:hAnsi="Times New Roman" w:eastAsia="方正仿宋简体" w:cs="方正仿宋简体"/>
                <w:bCs/>
                <w:sz w:val="21"/>
                <w:szCs w:val="21"/>
                <w:lang w:eastAsia="zh-CN"/>
              </w:rPr>
              <w:t>．落实“龙头</w:t>
            </w:r>
            <w:bookmarkStart w:id="223" w:name="OLE_LINK116"/>
            <w:r>
              <w:rPr>
                <w:rFonts w:hint="eastAsia" w:ascii="Times New Roman" w:hAnsi="Times New Roman" w:eastAsia="方正仿宋简体" w:cs="方正仿宋简体"/>
                <w:bCs/>
                <w:sz w:val="21"/>
                <w:szCs w:val="21"/>
                <w:lang w:eastAsia="zh-CN"/>
              </w:rPr>
              <w:t>企业+种植合作社</w:t>
            </w:r>
            <w:bookmarkEnd w:id="223"/>
            <w:r>
              <w:rPr>
                <w:rFonts w:hint="eastAsia" w:ascii="Times New Roman" w:hAnsi="Times New Roman" w:eastAsia="方正仿宋简体" w:cs="方正仿宋简体"/>
                <w:bCs/>
                <w:sz w:val="21"/>
                <w:szCs w:val="21"/>
                <w:lang w:eastAsia="zh-CN"/>
              </w:rPr>
              <w:t>+农牧户”模式。</w:t>
            </w:r>
          </w:p>
        </w:tc>
        <w:tc>
          <w:tcPr>
            <w:tcW w:w="2616" w:type="dxa"/>
            <w:vAlign w:val="center"/>
          </w:tcPr>
          <w:p w14:paraId="04F81E58">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1．</w:t>
            </w:r>
            <w:r>
              <w:rPr>
                <w:rFonts w:ascii="Times New Roman" w:hAnsi="Times New Roman" w:eastAsia="方正仿宋简体" w:cs="方正仿宋简体"/>
                <w:bCs/>
                <w:sz w:val="21"/>
                <w:szCs w:val="21"/>
                <w:lang w:eastAsia="zh-CN"/>
              </w:rPr>
              <w:t>中央耕地建设与利用资金（高标准农田建设专项）、</w:t>
            </w:r>
            <w:r>
              <w:rPr>
                <w:rFonts w:hint="eastAsia" w:ascii="Times New Roman" w:hAnsi="Times New Roman" w:eastAsia="方正仿宋简体" w:cs="方正仿宋简体"/>
                <w:bCs/>
                <w:sz w:val="21"/>
                <w:szCs w:val="21"/>
                <w:lang w:eastAsia="zh-CN"/>
              </w:rPr>
              <w:t>市级</w:t>
            </w:r>
            <w:r>
              <w:rPr>
                <w:rFonts w:ascii="Times New Roman" w:hAnsi="Times New Roman" w:eastAsia="方正仿宋简体" w:cs="方正仿宋简体"/>
                <w:bCs/>
                <w:sz w:val="21"/>
                <w:szCs w:val="21"/>
                <w:lang w:eastAsia="zh-CN"/>
              </w:rPr>
              <w:t>配套高标准农田建设资金；</w:t>
            </w:r>
          </w:p>
          <w:p w14:paraId="3DB0D788">
            <w:pPr>
              <w:widowControl/>
              <w:spacing w:line="270" w:lineRule="exact"/>
              <w:jc w:val="both"/>
              <w:rPr>
                <w:rFonts w:ascii="Times New Roman" w:hAnsi="Times New Roman" w:eastAsia="方正仿宋简体" w:cs="方正仿宋简体"/>
                <w:bCs/>
                <w:sz w:val="21"/>
                <w:szCs w:val="21"/>
                <w:lang w:eastAsia="zh-CN"/>
              </w:rPr>
            </w:pPr>
            <w:bookmarkStart w:id="224" w:name="OLE_LINK107"/>
            <w:r>
              <w:rPr>
                <w:rFonts w:hint="eastAsia" w:ascii="Times New Roman" w:hAnsi="Times New Roman" w:eastAsia="方正仿宋简体" w:cs="方正仿宋简体"/>
                <w:bCs/>
                <w:sz w:val="21"/>
                <w:szCs w:val="21"/>
                <w:lang w:eastAsia="zh-CN"/>
              </w:rPr>
              <w:t>2</w:t>
            </w:r>
            <w:bookmarkEnd w:id="224"/>
            <w:r>
              <w:rPr>
                <w:rFonts w:hint="eastAsia" w:ascii="Times New Roman" w:hAnsi="Times New Roman" w:eastAsia="方正仿宋简体" w:cs="方正仿宋简体"/>
                <w:bCs/>
                <w:sz w:val="21"/>
                <w:szCs w:val="21"/>
                <w:lang w:eastAsia="zh-CN"/>
              </w:rPr>
              <w:t>．</w:t>
            </w:r>
            <w:r>
              <w:rPr>
                <w:rFonts w:ascii="Times New Roman" w:hAnsi="Times New Roman" w:eastAsia="方正仿宋简体" w:cs="方正仿宋简体"/>
                <w:bCs/>
                <w:sz w:val="21"/>
                <w:szCs w:val="21"/>
                <w:lang w:eastAsia="zh-CN"/>
              </w:rPr>
              <w:t>衔接推进乡村振兴补助资金、区农业产业发展资金（经营主体培育奖补）</w:t>
            </w:r>
            <w:r>
              <w:rPr>
                <w:rFonts w:hint="eastAsia" w:ascii="Times New Roman" w:hAnsi="Times New Roman" w:eastAsia="方正仿宋简体" w:cs="方正仿宋简体"/>
                <w:bCs/>
                <w:sz w:val="21"/>
                <w:szCs w:val="21"/>
                <w:lang w:eastAsia="zh-CN"/>
              </w:rPr>
              <w:t>。</w:t>
            </w:r>
          </w:p>
        </w:tc>
        <w:tc>
          <w:tcPr>
            <w:tcW w:w="1468" w:type="dxa"/>
            <w:vAlign w:val="center"/>
          </w:tcPr>
          <w:p w14:paraId="444953C6">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1．改造低产田，提升产能；</w:t>
            </w:r>
          </w:p>
          <w:p w14:paraId="4C1FA4D3">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2．培育自治区级以上龙头企业。</w:t>
            </w:r>
          </w:p>
        </w:tc>
      </w:tr>
      <w:tr w14:paraId="1BE9F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9" w:hRule="atLeast"/>
        </w:trPr>
        <w:tc>
          <w:tcPr>
            <w:tcW w:w="758" w:type="dxa"/>
            <w:vAlign w:val="center"/>
          </w:tcPr>
          <w:p w14:paraId="1413CC24">
            <w:pPr>
              <w:widowControl/>
              <w:spacing w:line="270" w:lineRule="exact"/>
              <w:jc w:val="center"/>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技术赋能</w:t>
            </w:r>
          </w:p>
        </w:tc>
        <w:tc>
          <w:tcPr>
            <w:tcW w:w="1328" w:type="dxa"/>
            <w:vAlign w:val="center"/>
          </w:tcPr>
          <w:p w14:paraId="568B4E07">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高寒种植技术普及率、品种改良率</w:t>
            </w:r>
          </w:p>
        </w:tc>
        <w:tc>
          <w:tcPr>
            <w:tcW w:w="2686" w:type="dxa"/>
            <w:vAlign w:val="center"/>
          </w:tcPr>
          <w:p w14:paraId="393D514A">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1．联合中科院等机构攻关耐寒品种；</w:t>
            </w:r>
          </w:p>
          <w:p w14:paraId="00644932">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2．推广标准化种植技术，降低病虫害；</w:t>
            </w:r>
          </w:p>
          <w:p w14:paraId="2258B751">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3．开展种植户技术培训。</w:t>
            </w:r>
          </w:p>
        </w:tc>
        <w:tc>
          <w:tcPr>
            <w:tcW w:w="2616" w:type="dxa"/>
            <w:vAlign w:val="center"/>
          </w:tcPr>
          <w:p w14:paraId="407D6216">
            <w:pPr>
              <w:widowControl/>
              <w:spacing w:line="270" w:lineRule="exact"/>
              <w:jc w:val="both"/>
              <w:rPr>
                <w:rFonts w:ascii="Times New Roman" w:hAnsi="Times New Roman" w:eastAsia="方正仿宋简体" w:cs="方正仿宋简体"/>
                <w:bCs/>
                <w:sz w:val="21"/>
                <w:szCs w:val="21"/>
                <w:lang w:eastAsia="zh-CN"/>
              </w:rPr>
            </w:pPr>
            <w:bookmarkStart w:id="225" w:name="OLE_LINK98"/>
            <w:r>
              <w:rPr>
                <w:rFonts w:hint="eastAsia" w:ascii="Times New Roman" w:hAnsi="Times New Roman" w:eastAsia="方正仿宋简体" w:cs="方正仿宋简体"/>
                <w:bCs/>
                <w:sz w:val="21"/>
                <w:szCs w:val="21"/>
                <w:lang w:eastAsia="zh-CN"/>
              </w:rPr>
              <w:t>1．</w:t>
            </w:r>
            <w:r>
              <w:rPr>
                <w:rFonts w:ascii="Times New Roman" w:hAnsi="Times New Roman" w:eastAsia="方正仿宋简体" w:cs="方正仿宋简体"/>
                <w:bCs/>
                <w:sz w:val="21"/>
                <w:szCs w:val="21"/>
                <w:lang w:eastAsia="zh-CN"/>
              </w:rPr>
              <w:t>自治区应用技术研究与开发专项资金</w:t>
            </w:r>
            <w:r>
              <w:rPr>
                <w:rFonts w:hint="eastAsia" w:ascii="Times New Roman" w:hAnsi="Times New Roman" w:eastAsia="方正仿宋简体" w:cs="方正仿宋简体"/>
                <w:bCs/>
                <w:sz w:val="21"/>
                <w:szCs w:val="21"/>
                <w:lang w:eastAsia="zh-CN"/>
              </w:rPr>
              <w:t>、农</w:t>
            </w:r>
            <w:r>
              <w:rPr>
                <w:rFonts w:ascii="Times New Roman" w:hAnsi="Times New Roman" w:eastAsia="方正仿宋简体" w:cs="方正仿宋简体"/>
                <w:bCs/>
                <w:sz w:val="21"/>
                <w:szCs w:val="21"/>
                <w:lang w:eastAsia="zh-CN"/>
              </w:rPr>
              <w:t>业科技成果转化推广专项资金；</w:t>
            </w:r>
          </w:p>
          <w:p w14:paraId="2528CF0B">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2．农业</w:t>
            </w:r>
            <w:r>
              <w:rPr>
                <w:rFonts w:ascii="Times New Roman" w:hAnsi="Times New Roman" w:eastAsia="方正仿宋简体" w:cs="方正仿宋简体"/>
                <w:bCs/>
                <w:sz w:val="21"/>
                <w:szCs w:val="21"/>
                <w:lang w:eastAsia="zh-CN"/>
              </w:rPr>
              <w:t>技术推广工作经费</w:t>
            </w:r>
            <w:r>
              <w:rPr>
                <w:rFonts w:hint="eastAsia" w:ascii="Times New Roman" w:hAnsi="Times New Roman" w:eastAsia="方正仿宋简体" w:cs="方正仿宋简体"/>
                <w:bCs/>
                <w:sz w:val="21"/>
                <w:szCs w:val="21"/>
                <w:lang w:eastAsia="zh-CN"/>
              </w:rPr>
              <w:t>。</w:t>
            </w:r>
            <w:bookmarkEnd w:id="225"/>
          </w:p>
        </w:tc>
        <w:tc>
          <w:tcPr>
            <w:tcW w:w="1468" w:type="dxa"/>
            <w:vAlign w:val="center"/>
          </w:tcPr>
          <w:p w14:paraId="299BA5CD">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1．引进改良品种试种；</w:t>
            </w:r>
          </w:p>
          <w:p w14:paraId="533463EA">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2．建设技术服务站点。</w:t>
            </w:r>
          </w:p>
        </w:tc>
      </w:tr>
      <w:tr w14:paraId="21190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4" w:hRule="atLeast"/>
        </w:trPr>
        <w:tc>
          <w:tcPr>
            <w:tcW w:w="758" w:type="dxa"/>
            <w:vAlign w:val="center"/>
          </w:tcPr>
          <w:p w14:paraId="7A72667F">
            <w:pPr>
              <w:widowControl/>
              <w:spacing w:line="270" w:lineRule="exact"/>
              <w:jc w:val="center"/>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政策落地</w:t>
            </w:r>
          </w:p>
        </w:tc>
        <w:tc>
          <w:tcPr>
            <w:tcW w:w="1328" w:type="dxa"/>
            <w:vAlign w:val="center"/>
          </w:tcPr>
          <w:p w14:paraId="11D30735">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良种补贴标准、加工产值目标</w:t>
            </w:r>
          </w:p>
        </w:tc>
        <w:tc>
          <w:tcPr>
            <w:tcW w:w="2686" w:type="dxa"/>
            <w:vAlign w:val="center"/>
          </w:tcPr>
          <w:p w14:paraId="67C83379">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1．落实青稞≥20元/亩、其他作物≥10元/亩良种补贴；</w:t>
            </w:r>
          </w:p>
          <w:p w14:paraId="066BA425">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2．扶持芫根、青稞深加工项目；</w:t>
            </w:r>
          </w:p>
          <w:p w14:paraId="6A84C43B">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3．推进撂荒地整治复耕。</w:t>
            </w:r>
          </w:p>
        </w:tc>
        <w:tc>
          <w:tcPr>
            <w:tcW w:w="2616" w:type="dxa"/>
            <w:vAlign w:val="center"/>
          </w:tcPr>
          <w:p w14:paraId="0268EC65">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1.</w:t>
            </w:r>
            <w:r>
              <w:rPr>
                <w:rFonts w:hint="eastAsia" w:ascii="Times New Roman" w:hAnsi="Times New Roman" w:eastAsia="方正仿宋简体" w:cs="方正仿宋简体"/>
                <w:bCs/>
                <w:sz w:val="21"/>
                <w:szCs w:val="21"/>
                <w:lang w:val="en-US" w:eastAsia="zh-CN"/>
              </w:rPr>
              <w:t xml:space="preserve"> </w:t>
            </w:r>
            <w:r>
              <w:rPr>
                <w:rFonts w:ascii="Times New Roman" w:hAnsi="Times New Roman" w:eastAsia="方正仿宋简体" w:cs="方正仿宋简体"/>
                <w:bCs/>
                <w:sz w:val="21"/>
                <w:szCs w:val="21"/>
                <w:lang w:eastAsia="zh-CN"/>
              </w:rPr>
              <w:t>中央常态化帮扶资金、中央衔接推进乡村振兴补助资金、自治区涉农产业扶持专项资金；</w:t>
            </w:r>
          </w:p>
          <w:p w14:paraId="0E4193D2">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2.</w:t>
            </w:r>
            <w:r>
              <w:rPr>
                <w:rFonts w:hint="eastAsia" w:ascii="Times New Roman" w:hAnsi="Times New Roman" w:eastAsia="方正仿宋简体" w:cs="方正仿宋简体"/>
                <w:bCs/>
                <w:sz w:val="21"/>
                <w:szCs w:val="21"/>
                <w:lang w:val="en-US" w:eastAsia="zh-CN"/>
              </w:rPr>
              <w:t xml:space="preserve"> </w:t>
            </w:r>
            <w:r>
              <w:rPr>
                <w:rFonts w:ascii="Times New Roman" w:hAnsi="Times New Roman" w:eastAsia="方正仿宋简体" w:cs="方正仿宋简体"/>
                <w:bCs/>
                <w:sz w:val="21"/>
                <w:szCs w:val="21"/>
                <w:lang w:eastAsia="zh-CN"/>
              </w:rPr>
              <w:t>市级农畜产品精深加工产业配套扶持资金</w:t>
            </w:r>
            <w:r>
              <w:rPr>
                <w:rFonts w:hint="eastAsia" w:ascii="Times New Roman" w:hAnsi="Times New Roman" w:eastAsia="方正仿宋简体" w:cs="方正仿宋简体"/>
                <w:bCs/>
                <w:sz w:val="21"/>
                <w:szCs w:val="21"/>
                <w:lang w:eastAsia="zh-CN"/>
              </w:rPr>
              <w:t>。</w:t>
            </w:r>
          </w:p>
        </w:tc>
        <w:tc>
          <w:tcPr>
            <w:tcW w:w="1468" w:type="dxa"/>
            <w:vAlign w:val="center"/>
          </w:tcPr>
          <w:p w14:paraId="04D08A74">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1．申报补贴资金，精准发放；</w:t>
            </w:r>
          </w:p>
          <w:p w14:paraId="4F5C403C">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2．培育深加工项目，冲刺2亿元加工总产值。</w:t>
            </w:r>
          </w:p>
        </w:tc>
      </w:tr>
      <w:tr w14:paraId="67264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2" w:hRule="atLeast"/>
        </w:trPr>
        <w:tc>
          <w:tcPr>
            <w:tcW w:w="758" w:type="dxa"/>
            <w:vAlign w:val="center"/>
          </w:tcPr>
          <w:p w14:paraId="58CF6F5B">
            <w:pPr>
              <w:widowControl/>
              <w:spacing w:line="270" w:lineRule="exact"/>
              <w:jc w:val="center"/>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竞争力提升</w:t>
            </w:r>
          </w:p>
        </w:tc>
        <w:tc>
          <w:tcPr>
            <w:tcW w:w="1328" w:type="dxa"/>
            <w:vAlign w:val="center"/>
          </w:tcPr>
          <w:p w14:paraId="28EFC902">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绿色有机认证率、品牌溢价空间</w:t>
            </w:r>
          </w:p>
        </w:tc>
        <w:tc>
          <w:tcPr>
            <w:tcW w:w="2686" w:type="dxa"/>
            <w:vAlign w:val="center"/>
          </w:tcPr>
          <w:p w14:paraId="11FF0821">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1．推进地理标志产品申报；</w:t>
            </w:r>
          </w:p>
          <w:p w14:paraId="7FE78884">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2．拓展电商销售渠道，打造区域公共品牌；</w:t>
            </w:r>
          </w:p>
          <w:p w14:paraId="706D286F">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3．开发青稞功能食品、芫根加工品、藏药材饮片。</w:t>
            </w:r>
          </w:p>
        </w:tc>
        <w:tc>
          <w:tcPr>
            <w:tcW w:w="2616" w:type="dxa"/>
            <w:vAlign w:val="center"/>
          </w:tcPr>
          <w:p w14:paraId="26B52D87">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1.</w:t>
            </w:r>
            <w:r>
              <w:rPr>
                <w:rFonts w:hint="eastAsia" w:ascii="Times New Roman" w:hAnsi="Times New Roman" w:eastAsia="方正仿宋简体" w:cs="方正仿宋简体"/>
                <w:bCs/>
                <w:sz w:val="21"/>
                <w:szCs w:val="21"/>
                <w:lang w:val="en-US" w:eastAsia="zh-CN"/>
              </w:rPr>
              <w:t xml:space="preserve"> </w:t>
            </w:r>
            <w:r>
              <w:rPr>
                <w:rFonts w:ascii="Times New Roman" w:hAnsi="Times New Roman" w:eastAsia="方正仿宋简体" w:cs="方正仿宋简体"/>
                <w:bCs/>
                <w:sz w:val="21"/>
                <w:szCs w:val="21"/>
                <w:lang w:eastAsia="zh-CN"/>
              </w:rPr>
              <w:t>自治区农业产业发展资金、商贸流通业发展专项资金（区域公共品牌培育）；</w:t>
            </w:r>
          </w:p>
          <w:p w14:paraId="0FA0499F">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2.</w:t>
            </w:r>
            <w:r>
              <w:rPr>
                <w:rFonts w:hint="eastAsia" w:ascii="Times New Roman" w:hAnsi="Times New Roman" w:eastAsia="方正仿宋简体" w:cs="方正仿宋简体"/>
                <w:bCs/>
                <w:sz w:val="21"/>
                <w:szCs w:val="21"/>
                <w:lang w:val="en-US" w:eastAsia="zh-CN"/>
              </w:rPr>
              <w:t xml:space="preserve"> </w:t>
            </w:r>
            <w:r>
              <w:rPr>
                <w:rFonts w:ascii="Times New Roman" w:hAnsi="Times New Roman" w:eastAsia="方正仿宋简体" w:cs="方正仿宋简体"/>
                <w:bCs/>
                <w:sz w:val="21"/>
                <w:szCs w:val="21"/>
                <w:lang w:eastAsia="zh-CN"/>
              </w:rPr>
              <w:t>农村电子商务发展专项扶持资金</w:t>
            </w:r>
            <w:r>
              <w:rPr>
                <w:rFonts w:hint="eastAsia" w:ascii="Times New Roman" w:hAnsi="Times New Roman" w:eastAsia="方正仿宋简体" w:cs="方正仿宋简体"/>
                <w:bCs/>
                <w:sz w:val="21"/>
                <w:szCs w:val="21"/>
                <w:lang w:eastAsia="zh-CN"/>
              </w:rPr>
              <w:t>。</w:t>
            </w:r>
          </w:p>
        </w:tc>
        <w:tc>
          <w:tcPr>
            <w:tcW w:w="1468" w:type="dxa"/>
            <w:vAlign w:val="center"/>
          </w:tcPr>
          <w:p w14:paraId="1335075F">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1．完成核心产品有机认证；</w:t>
            </w:r>
          </w:p>
          <w:p w14:paraId="74687A3C">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2．搭建电商直播销售体系。</w:t>
            </w:r>
          </w:p>
        </w:tc>
      </w:tr>
      <w:tr w14:paraId="3D47E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0" w:hRule="atLeast"/>
        </w:trPr>
        <w:tc>
          <w:tcPr>
            <w:tcW w:w="758" w:type="dxa"/>
            <w:vAlign w:val="center"/>
          </w:tcPr>
          <w:p w14:paraId="43ACC39D">
            <w:pPr>
              <w:widowControl/>
              <w:spacing w:line="270" w:lineRule="exact"/>
              <w:jc w:val="center"/>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潜力挖掘</w:t>
            </w:r>
          </w:p>
        </w:tc>
        <w:tc>
          <w:tcPr>
            <w:tcW w:w="1328" w:type="dxa"/>
            <w:vAlign w:val="center"/>
          </w:tcPr>
          <w:p w14:paraId="55D92883">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三产融合覆盖率、种业发展规模</w:t>
            </w:r>
          </w:p>
        </w:tc>
        <w:tc>
          <w:tcPr>
            <w:tcW w:w="2686" w:type="dxa"/>
            <w:vAlign w:val="center"/>
          </w:tcPr>
          <w:p w14:paraId="06F41890">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1．结合生态旅游，开发采摘体验项目；</w:t>
            </w:r>
          </w:p>
          <w:p w14:paraId="5D5F0029">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2．深挖特色种质价值，发展高原种业；</w:t>
            </w:r>
          </w:p>
          <w:p w14:paraId="20961969">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3．扩大设施农业规模，保障错季供应。</w:t>
            </w:r>
          </w:p>
        </w:tc>
        <w:tc>
          <w:tcPr>
            <w:tcW w:w="2616" w:type="dxa"/>
            <w:vAlign w:val="center"/>
          </w:tcPr>
          <w:p w14:paraId="395995EE">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1.</w:t>
            </w:r>
            <w:r>
              <w:rPr>
                <w:rFonts w:hint="eastAsia" w:ascii="Times New Roman" w:hAnsi="Times New Roman" w:eastAsia="方正仿宋简体" w:cs="方正仿宋简体"/>
                <w:bCs/>
                <w:sz w:val="21"/>
                <w:szCs w:val="21"/>
                <w:lang w:val="en-US" w:eastAsia="zh-CN"/>
              </w:rPr>
              <w:t xml:space="preserve"> </w:t>
            </w:r>
            <w:r>
              <w:rPr>
                <w:rFonts w:ascii="Times New Roman" w:hAnsi="Times New Roman" w:eastAsia="方正仿宋简体" w:cs="方正仿宋简体"/>
                <w:bCs/>
                <w:sz w:val="21"/>
                <w:szCs w:val="21"/>
                <w:lang w:eastAsia="zh-CN"/>
              </w:rPr>
              <w:t>中央衔接推进乡村振兴补助资金、文旅产业高质量发展扶持资金；</w:t>
            </w:r>
          </w:p>
          <w:p w14:paraId="3CD99B8F">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2.</w:t>
            </w:r>
            <w:r>
              <w:rPr>
                <w:rFonts w:hint="eastAsia" w:ascii="Times New Roman" w:hAnsi="Times New Roman" w:eastAsia="方正仿宋简体" w:cs="方正仿宋简体"/>
                <w:bCs/>
                <w:sz w:val="21"/>
                <w:szCs w:val="21"/>
                <w:lang w:val="en-US" w:eastAsia="zh-CN"/>
              </w:rPr>
              <w:t xml:space="preserve"> </w:t>
            </w:r>
            <w:r>
              <w:rPr>
                <w:rFonts w:ascii="Times New Roman" w:hAnsi="Times New Roman" w:eastAsia="方正仿宋简体" w:cs="方正仿宋简体"/>
                <w:bCs/>
                <w:sz w:val="21"/>
                <w:szCs w:val="21"/>
                <w:lang w:eastAsia="zh-CN"/>
              </w:rPr>
              <w:t>高原特色农作物种业发展专项经费</w:t>
            </w:r>
            <w:r>
              <w:rPr>
                <w:rFonts w:hint="eastAsia" w:ascii="Times New Roman" w:hAnsi="Times New Roman" w:eastAsia="方正仿宋简体" w:cs="方正仿宋简体"/>
                <w:bCs/>
                <w:sz w:val="21"/>
                <w:szCs w:val="21"/>
                <w:lang w:eastAsia="zh-CN"/>
              </w:rPr>
              <w:t>。</w:t>
            </w:r>
          </w:p>
        </w:tc>
        <w:tc>
          <w:tcPr>
            <w:tcW w:w="1468" w:type="dxa"/>
            <w:vAlign w:val="center"/>
          </w:tcPr>
          <w:p w14:paraId="03319D76">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1．打造“种植+加工+旅游”示范点；</w:t>
            </w:r>
          </w:p>
          <w:p w14:paraId="2172698C">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2．建设良种繁育基地。</w:t>
            </w:r>
          </w:p>
        </w:tc>
      </w:tr>
    </w:tbl>
    <w:p w14:paraId="09F8F699">
      <w:pPr>
        <w:spacing w:line="576" w:lineRule="exact"/>
        <w:ind w:firstLine="640" w:firstLineChars="200"/>
        <w:jc w:val="both"/>
        <w:rPr>
          <w:rFonts w:ascii="Times New Roman" w:hAnsi="Times New Roman" w:eastAsia="方正仿宋简体" w:cs="方正仿宋简体"/>
          <w:bCs/>
          <w:sz w:val="32"/>
          <w:szCs w:val="28"/>
          <w:lang w:eastAsia="zh-CN"/>
        </w:rPr>
      </w:pPr>
      <w:bookmarkStart w:id="226" w:name="_Toc218422263"/>
      <w:r>
        <w:rPr>
          <w:rFonts w:hint="eastAsia" w:ascii="Times New Roman" w:hAnsi="Times New Roman" w:eastAsia="方正仿宋简体" w:cs="方正仿宋简体"/>
          <w:bCs/>
          <w:sz w:val="32"/>
          <w:szCs w:val="28"/>
          <w:lang w:eastAsia="zh-CN"/>
        </w:rPr>
        <w:t>那曲市的“高原特色种植业”的优势在于“生态+特色种质”，短板在高海拔生产限制、规模小、加工链短；需以“政策+科技+品牌”为抓手，扩大特色种植规模，延伸产业链，提升附加值，推动高原特色种植业高质量发展。</w:t>
      </w:r>
    </w:p>
    <w:p w14:paraId="6E4B251E">
      <w:pPr>
        <w:pStyle w:val="8"/>
        <w:overflowPunct w:val="0"/>
        <w:topLinePunct/>
        <w:autoSpaceDE/>
        <w:autoSpaceDN/>
        <w:spacing w:before="0" w:line="576" w:lineRule="exact"/>
        <w:ind w:left="0" w:firstLine="640" w:firstLineChars="200"/>
        <w:jc w:val="both"/>
        <w:outlineLvl w:val="1"/>
        <w:rPr>
          <w:rFonts w:ascii="Times New Roman" w:hAnsi="Times New Roman" w:eastAsia="方正楷体简体" w:cs="方正楷体简体"/>
          <w:sz w:val="32"/>
          <w:szCs w:val="32"/>
        </w:rPr>
      </w:pPr>
      <w:bookmarkStart w:id="227" w:name="_Toc243241465"/>
      <w:r>
        <w:rPr>
          <w:rFonts w:hint="eastAsia" w:ascii="Times New Roman" w:hAnsi="Times New Roman" w:eastAsia="方正楷体简体" w:cs="方正楷体简体"/>
          <w:sz w:val="32"/>
          <w:szCs w:val="32"/>
        </w:rPr>
        <w:t>（三）民族手工业</w:t>
      </w:r>
      <w:bookmarkEnd w:id="226"/>
      <w:bookmarkEnd w:id="227"/>
    </w:p>
    <w:p w14:paraId="53DBDDF8">
      <w:pPr>
        <w:spacing w:line="576" w:lineRule="exact"/>
        <w:ind w:firstLine="640" w:firstLineChars="200"/>
        <w:jc w:val="both"/>
        <w:rPr>
          <w:rFonts w:ascii="Times New Roman" w:hAnsi="Times New Roman" w:eastAsia="方正仿宋简体" w:cs="方正仿宋简体"/>
          <w:bCs/>
          <w:sz w:val="32"/>
          <w:szCs w:val="28"/>
          <w:lang w:eastAsia="zh-CN"/>
        </w:rPr>
      </w:pPr>
      <w:r>
        <w:rPr>
          <w:rFonts w:ascii="Times New Roman" w:hAnsi="Times New Roman" w:eastAsia="方正仿宋简体" w:cs="方正仿宋简体"/>
          <w:bCs/>
          <w:sz w:val="32"/>
          <w:szCs w:val="28"/>
          <w:lang w:val="en-US" w:eastAsia="zh-CN"/>
        </w:rPr>
        <w:t>民族手工业是那曲市兼具经济价值、文化价值和民生价值的基础性特色产业，既是传承保护藏北非遗文化、延续地域民俗文脉的重要载体，也是丰富那曲产业业态、拓宽农牧民就地就近增收渠道、夯实乡村振兴发展根基的关键支撑。那曲市民族手工业依托独特资源禀赋、完善政策体系、成熟经营模式和创新发展路径，逐步实现由传统零散手艺向规范化、市场化、融合化、品牌化产业转型，基础性、保障性、特色性产业地位持续巩固。一是强化政策赋能与平台搭建，夯实产业发展载体。</w:t>
      </w:r>
      <w:bookmarkStart w:id="228" w:name="OLE_LINK133"/>
      <w:r>
        <w:rPr>
          <w:rFonts w:ascii="Times New Roman" w:hAnsi="Times New Roman" w:eastAsia="方正仿宋简体" w:cs="方正仿宋简体"/>
          <w:bCs/>
          <w:sz w:val="32"/>
          <w:szCs w:val="28"/>
          <w:lang w:val="en-US" w:eastAsia="zh-CN"/>
        </w:rPr>
        <w:t>依托</w:t>
      </w:r>
      <w:bookmarkStart w:id="229" w:name="OLE_LINK137"/>
      <w:r>
        <w:rPr>
          <w:rFonts w:ascii="Times New Roman" w:hAnsi="Times New Roman" w:eastAsia="方正仿宋简体" w:cs="方正仿宋简体"/>
          <w:bCs/>
          <w:sz w:val="32"/>
          <w:szCs w:val="28"/>
          <w:lang w:val="en-US" w:eastAsia="zh-CN"/>
        </w:rPr>
        <w:t>那曲非遗展示展销平台、区外特色产品专馆、线上电商推介矩阵等多元化产业推广载体</w:t>
      </w:r>
      <w:bookmarkEnd w:id="228"/>
      <w:r>
        <w:rPr>
          <w:rFonts w:ascii="Times New Roman" w:hAnsi="Times New Roman" w:eastAsia="方正仿宋简体" w:cs="方正仿宋简体"/>
          <w:bCs/>
          <w:sz w:val="32"/>
          <w:szCs w:val="28"/>
          <w:lang w:val="en-US" w:eastAsia="zh-CN"/>
        </w:rPr>
        <w:t>，</w:t>
      </w:r>
      <w:bookmarkEnd w:id="229"/>
      <w:r>
        <w:rPr>
          <w:rFonts w:ascii="Times New Roman" w:hAnsi="Times New Roman" w:eastAsia="方正仿宋简体" w:cs="方正仿宋简体"/>
          <w:bCs/>
          <w:sz w:val="32"/>
          <w:szCs w:val="28"/>
          <w:lang w:val="en-US" w:eastAsia="zh-CN"/>
        </w:rPr>
        <w:t>搭建技艺展示、交流比拼、产品展销、产销对接一体化公共平台，有效激发非遗手工艺从业者创作热情和从业积极性，全面提升民族手工艺品市场知名度与曝光度。同步推进</w:t>
      </w:r>
      <w:bookmarkStart w:id="230" w:name="OLE_LINK134"/>
      <w:bookmarkStart w:id="231" w:name="OLE_LINK135"/>
      <w:r>
        <w:rPr>
          <w:rFonts w:ascii="Times New Roman" w:hAnsi="Times New Roman" w:eastAsia="方正仿宋简体" w:cs="方正仿宋简体"/>
          <w:bCs/>
          <w:sz w:val="32"/>
          <w:szCs w:val="28"/>
          <w:lang w:val="en-US" w:eastAsia="zh-CN"/>
        </w:rPr>
        <w:t>非遗工坊标准化建设，健全产业培育、技艺传承、规范生产、带动增收全链条发展机制</w:t>
      </w:r>
      <w:bookmarkEnd w:id="230"/>
      <w:r>
        <w:rPr>
          <w:rFonts w:ascii="Times New Roman" w:hAnsi="Times New Roman" w:eastAsia="方正仿宋简体" w:cs="方正仿宋简体"/>
          <w:bCs/>
          <w:sz w:val="32"/>
          <w:szCs w:val="28"/>
          <w:lang w:val="en-US" w:eastAsia="zh-CN"/>
        </w:rPr>
        <w:t>，</w:t>
      </w:r>
      <w:bookmarkEnd w:id="231"/>
      <w:r>
        <w:rPr>
          <w:rFonts w:ascii="Times New Roman" w:hAnsi="Times New Roman" w:eastAsia="方正仿宋简体" w:cs="方正仿宋简体"/>
          <w:bCs/>
          <w:sz w:val="32"/>
          <w:szCs w:val="28"/>
          <w:lang w:val="en-US" w:eastAsia="zh-CN"/>
        </w:rPr>
        <w:t>为民族手工业规模化培育、规范化发展、产业化升级提供坚实制度支撑和平台保障；</w:t>
      </w:r>
      <w:r>
        <w:rPr>
          <w:rFonts w:hint="eastAsia" w:ascii="Times New Roman" w:hAnsi="Times New Roman" w:eastAsia="方正仿宋简体" w:cs="方正仿宋简体"/>
          <w:b/>
          <w:sz w:val="32"/>
          <w:szCs w:val="28"/>
          <w:lang w:eastAsia="zh-CN"/>
        </w:rPr>
        <w:t>二是</w:t>
      </w:r>
      <w:r>
        <w:rPr>
          <w:rFonts w:hint="eastAsia" w:ascii="Times New Roman" w:hAnsi="Times New Roman" w:eastAsia="方正仿宋简体" w:cs="方正仿宋简体"/>
          <w:bCs/>
          <w:sz w:val="32"/>
          <w:szCs w:val="28"/>
          <w:lang w:eastAsia="zh-CN"/>
        </w:rPr>
        <w:t>深化组织运营模式改革，健全联农带农机制。全市持续探索民族手工业市场化发展路径，全面推广“</w:t>
      </w:r>
      <w:bookmarkStart w:id="232" w:name="OLE_LINK115"/>
      <w:r>
        <w:rPr>
          <w:rFonts w:hint="eastAsia" w:ascii="Times New Roman" w:hAnsi="Times New Roman" w:eastAsia="方正仿宋简体" w:cs="方正仿宋简体"/>
          <w:bCs/>
          <w:sz w:val="32"/>
          <w:szCs w:val="28"/>
          <w:lang w:eastAsia="zh-CN"/>
        </w:rPr>
        <w:t>龙头企业+</w:t>
      </w:r>
      <w:bookmarkStart w:id="233" w:name="OLE_LINK129"/>
      <w:r>
        <w:rPr>
          <w:rFonts w:hint="eastAsia" w:ascii="Times New Roman" w:hAnsi="Times New Roman" w:eastAsia="方正仿宋简体" w:cs="方正仿宋简体"/>
          <w:bCs/>
          <w:sz w:val="32"/>
          <w:szCs w:val="28"/>
          <w:lang w:eastAsia="zh-CN"/>
        </w:rPr>
        <w:t>手工艺专业合作社</w:t>
      </w:r>
      <w:bookmarkEnd w:id="232"/>
      <w:r>
        <w:rPr>
          <w:rFonts w:hint="eastAsia" w:ascii="Times New Roman" w:hAnsi="Times New Roman" w:eastAsia="方正仿宋简体" w:cs="方正仿宋简体"/>
          <w:bCs/>
          <w:sz w:val="32"/>
          <w:szCs w:val="28"/>
          <w:lang w:eastAsia="zh-CN"/>
        </w:rPr>
        <w:t>+非遗家</w:t>
      </w:r>
      <w:bookmarkEnd w:id="233"/>
      <w:r>
        <w:rPr>
          <w:rFonts w:hint="eastAsia" w:ascii="Times New Roman" w:hAnsi="Times New Roman" w:eastAsia="方正仿宋简体" w:cs="方正仿宋简体"/>
          <w:bCs/>
          <w:sz w:val="32"/>
          <w:szCs w:val="28"/>
          <w:lang w:eastAsia="zh-CN"/>
        </w:rPr>
        <w:t>庭作坊”产业化经营模式，通过整合技艺人才、原材料、市场渠道等优质资源，有效化解个体经营分散、抗风险能力弱、产销衔接不畅等短板。通过构建紧密稳定的利益联结体系，合理分配产业增值收益，保障广大农牧民持续稳定共享产业发展红利，筑牢产业富民根基；</w:t>
      </w:r>
      <w:r>
        <w:rPr>
          <w:rFonts w:hint="eastAsia" w:ascii="Times New Roman" w:hAnsi="Times New Roman" w:eastAsia="方正仿宋简体" w:cs="方正仿宋简体"/>
          <w:b/>
          <w:sz w:val="32"/>
          <w:szCs w:val="28"/>
          <w:lang w:eastAsia="zh-CN"/>
        </w:rPr>
        <w:t>三是</w:t>
      </w:r>
      <w:r>
        <w:rPr>
          <w:rFonts w:hint="eastAsia" w:ascii="Times New Roman" w:hAnsi="Times New Roman" w:eastAsia="方正仿宋简体" w:cs="方正仿宋简体"/>
          <w:bCs/>
          <w:sz w:val="32"/>
          <w:szCs w:val="28"/>
          <w:lang w:eastAsia="zh-CN"/>
        </w:rPr>
        <w:t>坚持创新驱动融合发展，激活产业内生动能。立足传统非遗技艺传承根基，持续推动产品创新、渠道创新、业态创新。在产品设计上有机融入现代审美元素，推动传统手工艺品提质升级；在市场销售上依托电商平台、直播带货等数字化新业态，拓宽线上线下融合销售渠道；在产业发展上深化手工业与生态文旅、民俗体验深度融合，持续丰富产业业态、延伸产业链条，全面激活传统民族手工业发展活力。</w:t>
      </w:r>
    </w:p>
    <w:p w14:paraId="34DF467D">
      <w:pPr>
        <w:spacing w:line="576" w:lineRule="exact"/>
        <w:ind w:firstLine="640" w:firstLineChars="200"/>
        <w:jc w:val="both"/>
        <w:rPr>
          <w:rFonts w:ascii="Times New Roman" w:hAnsi="Times New Roman" w:eastAsia="方正仿宋简体" w:cs="方正仿宋简体"/>
          <w:bCs/>
          <w:sz w:val="32"/>
          <w:szCs w:val="28"/>
          <w:lang w:eastAsia="zh-CN"/>
        </w:rPr>
      </w:pPr>
      <w:r>
        <w:rPr>
          <w:rFonts w:hint="eastAsia" w:ascii="Times New Roman" w:hAnsi="Times New Roman" w:eastAsia="方正仿宋简体" w:cs="方正仿宋简体"/>
          <w:bCs/>
          <w:sz w:val="32"/>
          <w:szCs w:val="28"/>
          <w:lang w:eastAsia="zh-CN"/>
        </w:rPr>
        <w:t>当前，那曲市民族手工业发展态势总体向好，同时也面临传统产品市场化适配度不足、经营管理和市场营销专业人才储备薄弱等短板，仍是未来产业提质升级的重点攻坚方向。整体来看，那曲民族手工业依托稀缺牦牛资源、独特非遗技艺、叠加多维政策赋能，差异化竞争优势鲜明、融合发展潜力广阔，具备原料独特性、文化IP稀缺性、政策叠加性、业态延展性突出的综合优势。作为全市基础性特色产业，民族手工业在稳就业、促增收、传文化、优业态方面发挥着不可替代的作用，未来发展动能充足、提质空间广阔。</w:t>
      </w:r>
    </w:p>
    <w:p w14:paraId="74A0099D">
      <w:pPr>
        <w:spacing w:line="576" w:lineRule="exact"/>
        <w:jc w:val="center"/>
        <w:rPr>
          <w:rFonts w:ascii="Times New Roman" w:hAnsi="Times New Roman" w:eastAsia="方正仿宋简体" w:cs="方正仿宋简体"/>
          <w:b/>
          <w:sz w:val="32"/>
          <w:szCs w:val="32"/>
          <w:lang w:eastAsia="zh-CN"/>
        </w:rPr>
      </w:pPr>
      <w:r>
        <w:rPr>
          <w:rFonts w:hint="eastAsia" w:ascii="Times New Roman" w:hAnsi="Times New Roman" w:eastAsia="方正仿宋简体" w:cs="方正仿宋简体"/>
          <w:b/>
          <w:sz w:val="32"/>
          <w:szCs w:val="32"/>
          <w:lang w:eastAsia="zh-CN"/>
        </w:rPr>
        <w:t>那曲市民族手工业基础性作用的主要体现</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71"/>
        <w:gridCol w:w="2649"/>
        <w:gridCol w:w="4398"/>
      </w:tblGrid>
      <w:tr w14:paraId="61F3A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trPr>
        <w:tc>
          <w:tcPr>
            <w:tcW w:w="1771" w:type="dxa"/>
            <w:vAlign w:val="center"/>
          </w:tcPr>
          <w:p w14:paraId="3A9DD4EE">
            <w:pPr>
              <w:widowControl/>
              <w:spacing w:line="352"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作用维度</w:t>
            </w:r>
          </w:p>
        </w:tc>
        <w:tc>
          <w:tcPr>
            <w:tcW w:w="2649" w:type="dxa"/>
            <w:vAlign w:val="center"/>
          </w:tcPr>
          <w:p w14:paraId="53FE82E7">
            <w:pPr>
              <w:widowControl/>
              <w:spacing w:line="352"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核心体现</w:t>
            </w:r>
          </w:p>
        </w:tc>
        <w:tc>
          <w:tcPr>
            <w:tcW w:w="4398" w:type="dxa"/>
            <w:vAlign w:val="center"/>
          </w:tcPr>
          <w:p w14:paraId="65F0CCF4">
            <w:pPr>
              <w:widowControl/>
              <w:spacing w:line="352"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典型案例/数据</w:t>
            </w:r>
          </w:p>
        </w:tc>
      </w:tr>
      <w:tr w14:paraId="3C97D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1771" w:type="dxa"/>
            <w:vAlign w:val="center"/>
          </w:tcPr>
          <w:p w14:paraId="5AA27E81">
            <w:pPr>
              <w:spacing w:line="352"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直接经济贡献与增收</w:t>
            </w:r>
          </w:p>
        </w:tc>
        <w:tc>
          <w:tcPr>
            <w:tcW w:w="2649" w:type="dxa"/>
            <w:vAlign w:val="center"/>
          </w:tcPr>
          <w:p w14:paraId="26DBFDFF">
            <w:pPr>
              <w:spacing w:line="352"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形成“居家经济”“指尖经济”模式，直接创造产值，助力群众增收。</w:t>
            </w:r>
          </w:p>
        </w:tc>
        <w:tc>
          <w:tcPr>
            <w:tcW w:w="4398" w:type="dxa"/>
            <w:vAlign w:val="center"/>
          </w:tcPr>
          <w:p w14:paraId="60ABDF06">
            <w:pPr>
              <w:spacing w:line="352"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val="en-US" w:eastAsia="zh-CN"/>
              </w:rPr>
              <w:t>非遗工坊标准化建设，健全产业培育、技艺传承、规范生产、带动增收全链条发展机制，</w:t>
            </w:r>
            <w:r>
              <w:rPr>
                <w:rFonts w:hint="eastAsia" w:ascii="Times New Roman" w:hAnsi="Times New Roman" w:eastAsia="方正仿宋简体" w:cs="方正仿宋简体"/>
                <w:bCs/>
                <w:sz w:val="21"/>
                <w:szCs w:val="21"/>
                <w:lang w:eastAsia="zh-CN"/>
              </w:rPr>
              <w:t>挖掘技能人才1164人，助力群众增收近5000万元。例如，糌粑合作社年纯收入12万余元，陶器合作社年收入超40万元。</w:t>
            </w:r>
          </w:p>
        </w:tc>
      </w:tr>
      <w:tr w14:paraId="5DB14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8" w:hRule="atLeast"/>
        </w:trPr>
        <w:tc>
          <w:tcPr>
            <w:tcW w:w="1771" w:type="dxa"/>
            <w:vAlign w:val="center"/>
          </w:tcPr>
          <w:p w14:paraId="28F87C43">
            <w:pPr>
              <w:spacing w:line="352"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就业与社会效益</w:t>
            </w:r>
          </w:p>
        </w:tc>
        <w:tc>
          <w:tcPr>
            <w:tcW w:w="2649" w:type="dxa"/>
            <w:vAlign w:val="center"/>
          </w:tcPr>
          <w:p w14:paraId="5FC3D368">
            <w:pPr>
              <w:spacing w:line="352"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通过合作社、非遗工坊等形式，实现就近就业与技能传承。</w:t>
            </w:r>
          </w:p>
        </w:tc>
        <w:tc>
          <w:tcPr>
            <w:tcW w:w="4398" w:type="dxa"/>
            <w:vAlign w:val="center"/>
          </w:tcPr>
          <w:p w14:paraId="7692180A">
            <w:pPr>
              <w:spacing w:line="352"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比如县尼囊村陶器合作社带动6人就业，日薪300元；古露镇编织合作社带领23名妇女人均增收上万元。</w:t>
            </w:r>
          </w:p>
        </w:tc>
      </w:tr>
      <w:tr w14:paraId="0D2CF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1" w:hRule="atLeast"/>
        </w:trPr>
        <w:tc>
          <w:tcPr>
            <w:tcW w:w="1771" w:type="dxa"/>
            <w:vAlign w:val="center"/>
          </w:tcPr>
          <w:p w14:paraId="74168EB5">
            <w:pPr>
              <w:spacing w:line="352" w:lineRule="exact"/>
              <w:jc w:val="both"/>
              <w:rPr>
                <w:rFonts w:ascii="Times New Roman" w:hAnsi="Times New Roman" w:eastAsia="方正仿宋简体" w:cs="方正仿宋简体"/>
                <w:bCs/>
                <w:sz w:val="21"/>
                <w:szCs w:val="21"/>
              </w:rPr>
            </w:pPr>
            <w:r>
              <w:rPr>
                <w:rFonts w:hint="eastAsia" w:ascii="Times New Roman" w:hAnsi="Times New Roman" w:eastAsia="方正仿宋简体" w:cs="方正仿宋简体"/>
                <w:bCs/>
                <w:sz w:val="21"/>
                <w:szCs w:val="21"/>
                <w:lang w:eastAsia="zh-CN"/>
              </w:rPr>
              <w:t>产业联动与品牌塑造</w:t>
            </w:r>
          </w:p>
        </w:tc>
        <w:tc>
          <w:tcPr>
            <w:tcW w:w="2649" w:type="dxa"/>
            <w:vAlign w:val="center"/>
          </w:tcPr>
          <w:p w14:paraId="206DB86E">
            <w:pPr>
              <w:spacing w:line="352"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与文旅深度融合，在赛马节等活动中展销，提升区域品牌形象。</w:t>
            </w:r>
          </w:p>
        </w:tc>
        <w:tc>
          <w:tcPr>
            <w:tcW w:w="4398" w:type="dxa"/>
            <w:vAlign w:val="center"/>
          </w:tcPr>
          <w:p w14:paraId="2C492569">
            <w:pPr>
              <w:spacing w:line="352" w:lineRule="exact"/>
              <w:jc w:val="both"/>
              <w:rPr>
                <w:rFonts w:ascii="Times New Roman" w:hAnsi="Times New Roman" w:eastAsia="方正仿宋简体" w:cs="方正仿宋简体"/>
                <w:bCs/>
                <w:sz w:val="21"/>
                <w:szCs w:val="21"/>
                <w:lang w:eastAsia="zh-CN"/>
              </w:rPr>
            </w:pPr>
            <w:bookmarkStart w:id="234" w:name="OLE_LINK136"/>
            <w:r>
              <w:rPr>
                <w:rFonts w:hint="eastAsia" w:ascii="Times New Roman" w:hAnsi="Times New Roman" w:eastAsia="方正仿宋简体" w:cs="方正仿宋简体"/>
                <w:bCs/>
                <w:sz w:val="21"/>
                <w:szCs w:val="21"/>
                <w:lang w:eastAsia="zh-CN"/>
              </w:rPr>
              <w:t>恰青</w:t>
            </w:r>
            <w:bookmarkEnd w:id="234"/>
            <w:r>
              <w:rPr>
                <w:rFonts w:hint="eastAsia" w:ascii="Times New Roman" w:hAnsi="Times New Roman" w:eastAsia="方正仿宋简体" w:cs="方正仿宋简体"/>
                <w:bCs/>
                <w:sz w:val="21"/>
                <w:szCs w:val="21"/>
                <w:lang w:eastAsia="zh-CN"/>
              </w:rPr>
              <w:t>赛马节上特色手工艺品和奶制品摊位日均销售额可观；编织产品亮相杭州亚运会，走出高原。</w:t>
            </w:r>
          </w:p>
        </w:tc>
      </w:tr>
      <w:tr w14:paraId="1C56A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9" w:hRule="atLeast"/>
        </w:trPr>
        <w:tc>
          <w:tcPr>
            <w:tcW w:w="1771" w:type="dxa"/>
            <w:vAlign w:val="center"/>
          </w:tcPr>
          <w:p w14:paraId="103E8814">
            <w:pPr>
              <w:spacing w:line="352"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rPr>
              <w:t>文化传承与创新活力</w:t>
            </w:r>
          </w:p>
        </w:tc>
        <w:tc>
          <w:tcPr>
            <w:tcW w:w="2649" w:type="dxa"/>
            <w:vAlign w:val="center"/>
          </w:tcPr>
          <w:p w14:paraId="49F731E5">
            <w:pPr>
              <w:spacing w:line="352"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rPr>
              <w:t>非遗工坊建设将传统技艺与现代审美、市场需求结合，开发新产品</w:t>
            </w:r>
            <w:r>
              <w:rPr>
                <w:rFonts w:hint="eastAsia" w:ascii="Times New Roman" w:hAnsi="Times New Roman" w:eastAsia="方正仿宋简体" w:cs="方正仿宋简体"/>
                <w:bCs/>
                <w:sz w:val="21"/>
                <w:szCs w:val="21"/>
                <w:lang w:eastAsia="zh-CN"/>
              </w:rPr>
              <w:t>。</w:t>
            </w:r>
          </w:p>
        </w:tc>
        <w:tc>
          <w:tcPr>
            <w:tcW w:w="4398" w:type="dxa"/>
            <w:vAlign w:val="center"/>
          </w:tcPr>
          <w:p w14:paraId="2B41F4BC">
            <w:pPr>
              <w:spacing w:line="352"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rPr>
              <w:t>全市拥有1091项非遗项目。开发出安达面膜、唐卡香插等手工艺产品，并通过抖音直播拓展市场</w:t>
            </w:r>
            <w:r>
              <w:rPr>
                <w:rFonts w:hint="eastAsia" w:ascii="Times New Roman" w:hAnsi="Times New Roman" w:eastAsia="方正仿宋简体" w:cs="方正仿宋简体"/>
                <w:bCs/>
                <w:sz w:val="21"/>
                <w:szCs w:val="21"/>
                <w:lang w:eastAsia="zh-CN"/>
              </w:rPr>
              <w:t>。</w:t>
            </w:r>
          </w:p>
        </w:tc>
      </w:tr>
    </w:tbl>
    <w:p w14:paraId="429BFFF7">
      <w:pPr>
        <w:spacing w:line="576" w:lineRule="exact"/>
        <w:ind w:firstLine="640" w:firstLineChars="200"/>
        <w:jc w:val="both"/>
        <w:outlineLvl w:val="2"/>
        <w:rPr>
          <w:rFonts w:hint="eastAsia" w:ascii="Times New Roman" w:hAnsi="Times New Roman" w:eastAsia="方正仿宋简体" w:cs="方正仿宋简体"/>
          <w:bCs/>
          <w:sz w:val="32"/>
          <w:szCs w:val="28"/>
          <w:lang w:eastAsia="zh-CN"/>
        </w:rPr>
      </w:pPr>
      <w:bookmarkStart w:id="235" w:name="_Toc243241466"/>
      <w:r>
        <w:rPr>
          <w:rFonts w:hint="eastAsia" w:ascii="Times New Roman" w:hAnsi="Times New Roman" w:eastAsia="方正仿宋简体" w:cs="方正仿宋简体"/>
          <w:bCs/>
          <w:sz w:val="32"/>
          <w:szCs w:val="28"/>
          <w:lang w:eastAsia="zh-CN"/>
        </w:rPr>
        <w:t>1</w:t>
      </w:r>
      <w:r>
        <w:rPr>
          <w:rFonts w:hint="eastAsia" w:ascii="Times New Roman" w:hAnsi="Times New Roman" w:eastAsia="方正仿宋简体" w:cs="方正仿宋简体"/>
          <w:bCs/>
          <w:sz w:val="32"/>
          <w:szCs w:val="28"/>
          <w:lang w:val="en-US"/>
        </w:rPr>
        <w:t>．</w:t>
      </w:r>
      <w:r>
        <w:rPr>
          <w:rFonts w:hint="eastAsia" w:ascii="Times New Roman" w:hAnsi="Times New Roman" w:eastAsia="方正仿宋简体" w:cs="方正仿宋简体"/>
          <w:bCs/>
          <w:sz w:val="32"/>
          <w:szCs w:val="28"/>
          <w:lang w:eastAsia="zh-CN"/>
        </w:rPr>
        <w:t>资源优势</w:t>
      </w:r>
      <w:bookmarkEnd w:id="235"/>
    </w:p>
    <w:p w14:paraId="75B78AD5">
      <w:pPr>
        <w:spacing w:line="576" w:lineRule="exact"/>
        <w:ind w:firstLine="643"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
          <w:sz w:val="32"/>
          <w:szCs w:val="28"/>
          <w:lang w:val="en-US" w:eastAsia="zh-CN"/>
        </w:rPr>
        <w:t>一是</w:t>
      </w:r>
      <w:r>
        <w:rPr>
          <w:rFonts w:hint="eastAsia" w:ascii="Times New Roman" w:hAnsi="Times New Roman" w:eastAsia="方正仿宋简体" w:cs="方正仿宋简体"/>
          <w:bCs/>
          <w:sz w:val="32"/>
          <w:szCs w:val="28"/>
          <w:lang w:val="en-US" w:eastAsia="zh-CN"/>
        </w:rPr>
        <w:t>特色原料禀赋稀缺优质。那曲市牦牛养殖存量规模庞大，牦牛皮、牦牛绒、牦牛骨及藏北山羊绒等优质原材料供给稳定充足，其中藏北山羊绒素有“软黄金”之称，品质稀缺独特。同时那曲富集优质陶土、乡土木材等特色原辅材料，可全方位适配皮具制品、牦牛工艺标本、藏毯织造、骨雕工艺、藏式陶器等产品生产，为民族手工业高端化、特色化、精品化发展筑牢原料基底；</w:t>
      </w:r>
      <w:r>
        <w:rPr>
          <w:rFonts w:hint="eastAsia" w:ascii="Times New Roman" w:hAnsi="Times New Roman" w:eastAsia="方正仿宋简体" w:cs="方正仿宋简体"/>
          <w:b/>
          <w:sz w:val="32"/>
          <w:szCs w:val="28"/>
          <w:lang w:val="en-US" w:eastAsia="zh-CN"/>
        </w:rPr>
        <w:t>二是</w:t>
      </w:r>
      <w:r>
        <w:rPr>
          <w:rFonts w:hint="eastAsia" w:ascii="Times New Roman" w:hAnsi="Times New Roman" w:eastAsia="方正仿宋简体" w:cs="方正仿宋简体"/>
          <w:bCs/>
          <w:sz w:val="32"/>
          <w:szCs w:val="28"/>
          <w:lang w:val="en-US" w:eastAsia="zh-CN"/>
        </w:rPr>
        <w:t>非遗</w:t>
      </w:r>
      <w:r>
        <w:rPr>
          <w:rFonts w:hint="eastAsia" w:ascii="Times New Roman" w:hAnsi="Times New Roman" w:eastAsia="方正仿宋简体" w:cs="方正仿宋简体"/>
          <w:bCs/>
          <w:sz w:val="32"/>
          <w:szCs w:val="28"/>
          <w:lang w:eastAsia="zh-CN"/>
        </w:rPr>
        <w:t>资源</w:t>
      </w:r>
      <w:r>
        <w:rPr>
          <w:rFonts w:hint="eastAsia" w:ascii="Times New Roman" w:hAnsi="Times New Roman" w:eastAsia="方正仿宋简体" w:cs="方正仿宋简体"/>
          <w:bCs/>
          <w:sz w:val="32"/>
          <w:szCs w:val="28"/>
          <w:lang w:val="en-US" w:eastAsia="zh-CN"/>
        </w:rPr>
        <w:t>与传承人才富集。全市非遗资源存量丰厚，现有各级各类非遗项目1091项、非遗传承人414名，</w:t>
      </w:r>
      <w:bookmarkStart w:id="236" w:name="OLE_LINK60"/>
      <w:r>
        <w:rPr>
          <w:rFonts w:hint="eastAsia" w:ascii="Times New Roman" w:hAnsi="Times New Roman" w:eastAsia="方正仿宋简体" w:cs="方正仿宋简体"/>
          <w:bCs/>
          <w:sz w:val="32"/>
          <w:szCs w:val="28"/>
          <w:lang w:val="en-US" w:eastAsia="zh-CN"/>
        </w:rPr>
        <w:t>市级工艺美术大师6名</w:t>
      </w:r>
      <w:bookmarkEnd w:id="236"/>
      <w:r>
        <w:rPr>
          <w:rFonts w:hint="eastAsia" w:ascii="Times New Roman" w:hAnsi="Times New Roman" w:eastAsia="方正仿宋简体" w:cs="方正仿宋简体"/>
          <w:bCs/>
          <w:sz w:val="32"/>
          <w:szCs w:val="28"/>
          <w:lang w:val="en-US" w:eastAsia="zh-CN"/>
        </w:rPr>
        <w:t>，技艺门类涵盖塞白皮具、塞白木雕、尼囊制陶等特色传统工艺。同步建成17个自治区级非遗传习基地、14家标准化非遗工坊，构建形成覆盖技艺传承、人才培育、生产转化的完整活态传承体系，为产业永续发展提供人才支撑和技艺保障；</w:t>
      </w:r>
      <w:r>
        <w:rPr>
          <w:rFonts w:hint="eastAsia" w:ascii="Times New Roman" w:hAnsi="Times New Roman" w:eastAsia="方正仿宋简体" w:cs="方正仿宋简体"/>
          <w:b/>
          <w:sz w:val="32"/>
          <w:szCs w:val="28"/>
          <w:lang w:val="en-US" w:eastAsia="zh-CN"/>
        </w:rPr>
        <w:t>三是</w:t>
      </w:r>
      <w:r>
        <w:rPr>
          <w:rFonts w:hint="eastAsia" w:ascii="Times New Roman" w:hAnsi="Times New Roman" w:eastAsia="方正仿宋简体" w:cs="方正仿宋简体"/>
          <w:bCs/>
          <w:sz w:val="32"/>
          <w:szCs w:val="28"/>
          <w:lang w:val="en-US" w:eastAsia="zh-CN"/>
        </w:rPr>
        <w:t>地域</w:t>
      </w:r>
      <w:r>
        <w:rPr>
          <w:rFonts w:hint="eastAsia" w:ascii="Times New Roman" w:hAnsi="Times New Roman" w:eastAsia="方正仿宋简体" w:cs="方正仿宋简体"/>
          <w:bCs/>
          <w:sz w:val="32"/>
          <w:szCs w:val="28"/>
          <w:lang w:eastAsia="zh-CN"/>
        </w:rPr>
        <w:t>文化</w:t>
      </w:r>
      <w:r>
        <w:rPr>
          <w:rFonts w:hint="eastAsia" w:ascii="Times New Roman" w:hAnsi="Times New Roman" w:eastAsia="方正仿宋简体" w:cs="方正仿宋简体"/>
          <w:bCs/>
          <w:sz w:val="32"/>
          <w:szCs w:val="28"/>
          <w:lang w:val="en-US" w:eastAsia="zh-CN"/>
        </w:rPr>
        <w:t>IP辨识度突出。依托独有的藏北游牧文化底蕴，马具、藏靴、糌粑盒等传统手工艺品兼具实用功能与深厚民俗文化内涵，差异化特质显著。可深度挖掘游牧文化内核，推动传统工艺与文创创意有机融合，精准适配文旅消费升级趋势，为产业品牌化、差异化、融合化发展赋予独特文化价值。</w:t>
      </w:r>
    </w:p>
    <w:p w14:paraId="1D5600FF">
      <w:pPr>
        <w:spacing w:line="576" w:lineRule="exact"/>
        <w:ind w:firstLine="640" w:firstLineChars="200"/>
        <w:jc w:val="both"/>
        <w:outlineLvl w:val="2"/>
        <w:rPr>
          <w:rFonts w:hint="eastAsia" w:ascii="Times New Roman" w:hAnsi="Times New Roman" w:eastAsia="方正仿宋简体" w:cs="方正仿宋简体"/>
          <w:bCs/>
          <w:sz w:val="32"/>
          <w:szCs w:val="28"/>
          <w:lang w:eastAsia="zh-CN"/>
        </w:rPr>
      </w:pPr>
      <w:bookmarkStart w:id="237" w:name="_Toc243241467"/>
      <w:r>
        <w:rPr>
          <w:rFonts w:hint="eastAsia" w:ascii="Times New Roman" w:hAnsi="Times New Roman" w:eastAsia="方正仿宋简体" w:cs="方正仿宋简体"/>
          <w:bCs/>
          <w:sz w:val="32"/>
          <w:szCs w:val="28"/>
          <w:lang w:eastAsia="zh-CN"/>
        </w:rPr>
        <w:t>2．产业环境</w:t>
      </w:r>
      <w:bookmarkEnd w:id="237"/>
    </w:p>
    <w:p w14:paraId="0770F49B">
      <w:pPr>
        <w:spacing w:line="576" w:lineRule="exact"/>
        <w:ind w:firstLine="643"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
          <w:sz w:val="32"/>
          <w:szCs w:val="28"/>
          <w:lang w:val="en-US" w:eastAsia="zh-CN"/>
        </w:rPr>
        <w:t>一是</w:t>
      </w:r>
      <w:r>
        <w:rPr>
          <w:rFonts w:hint="eastAsia" w:ascii="Times New Roman" w:hAnsi="Times New Roman" w:eastAsia="方正仿宋简体" w:cs="方正仿宋简体"/>
          <w:bCs/>
          <w:sz w:val="32"/>
          <w:szCs w:val="28"/>
          <w:lang w:val="en-US" w:eastAsia="zh-CN"/>
        </w:rPr>
        <w:t>产业组织体系日趋成熟。全市民族手工业已形成“合作社+非遗工坊+非遗传承人”的主流发展模式，产业组织化、集约化水平持续提升。目前，建成市级及以上非遗工坊14家，依托经营主体辐射带动群众就地就近就业、稳定增收，富民赋能成效显著，以尼囊村制陶产业为例，群众日均务工收入可达300元，有效拓宽农牧民增收渠道；</w:t>
      </w:r>
      <w:r>
        <w:rPr>
          <w:rFonts w:hint="eastAsia" w:ascii="Times New Roman" w:hAnsi="Times New Roman" w:eastAsia="方正仿宋简体" w:cs="方正仿宋简体"/>
          <w:b/>
          <w:sz w:val="32"/>
          <w:szCs w:val="28"/>
          <w:lang w:val="en-US" w:eastAsia="zh-CN"/>
        </w:rPr>
        <w:t>二是</w:t>
      </w:r>
      <w:r>
        <w:rPr>
          <w:rFonts w:hint="eastAsia" w:ascii="Times New Roman" w:hAnsi="Times New Roman" w:eastAsia="方正仿宋简体" w:cs="方正仿宋简体"/>
          <w:bCs/>
          <w:sz w:val="32"/>
          <w:szCs w:val="28"/>
          <w:lang w:val="en-US" w:eastAsia="zh-CN"/>
        </w:rPr>
        <w:t>产业链条初步构建成型。逐步打通原料初加工、手工精工制作、品牌展销流通全产业链条，有序开展皮革鞣制、羊绒梳理等前端初加工工序，夯实生产基底。依托牦牛产业大会、畜产品交易会等各类展会平台拓宽线下销路，持续做强“极地那曲”区域公共品牌，推动传统手工艺品从初级产品向品牌化、商品化转型，产业闭环基本形成；</w:t>
      </w:r>
      <w:r>
        <w:rPr>
          <w:rFonts w:hint="eastAsia" w:ascii="Times New Roman" w:hAnsi="Times New Roman" w:eastAsia="方正仿宋简体" w:cs="方正仿宋简体"/>
          <w:b/>
          <w:sz w:val="32"/>
          <w:szCs w:val="28"/>
          <w:lang w:val="en-US" w:eastAsia="zh-CN"/>
        </w:rPr>
        <w:t>三是</w:t>
      </w:r>
      <w:r>
        <w:rPr>
          <w:rFonts w:hint="eastAsia" w:ascii="Times New Roman" w:hAnsi="Times New Roman" w:eastAsia="方正仿宋简体" w:cs="方正仿宋简体"/>
          <w:bCs/>
          <w:sz w:val="32"/>
          <w:szCs w:val="28"/>
          <w:lang w:val="en-US" w:eastAsia="zh-CN"/>
        </w:rPr>
        <w:t>产业融合发展持续提速。深度推进“非遗+乡村振兴+文旅+电商”多元融合发展，构建线上线下一体化经营体系。依托电商直播基地打通线上销售渠道，布局线下体验展销点位，不断丰富消费场景、拓宽市场辐射半径，有效激活民族手工业新业态、新动能。</w:t>
      </w:r>
    </w:p>
    <w:p w14:paraId="13649A1B">
      <w:pPr>
        <w:spacing w:line="576" w:lineRule="exact"/>
        <w:ind w:firstLine="640" w:firstLineChars="200"/>
        <w:jc w:val="both"/>
        <w:outlineLvl w:val="2"/>
        <w:rPr>
          <w:rFonts w:hint="eastAsia" w:ascii="Times New Roman" w:hAnsi="Times New Roman" w:eastAsia="方正仿宋简体" w:cs="方正仿宋简体"/>
          <w:bCs/>
          <w:sz w:val="32"/>
          <w:szCs w:val="28"/>
          <w:lang w:eastAsia="zh-CN"/>
        </w:rPr>
      </w:pPr>
      <w:bookmarkStart w:id="238" w:name="_Toc243241468"/>
      <w:r>
        <w:rPr>
          <w:rFonts w:hint="eastAsia" w:ascii="Times New Roman" w:hAnsi="Times New Roman" w:eastAsia="方正仿宋简体" w:cs="方正仿宋简体"/>
          <w:bCs/>
          <w:sz w:val="32"/>
          <w:szCs w:val="28"/>
          <w:lang w:eastAsia="zh-CN"/>
        </w:rPr>
        <w:t>3．政策支持</w:t>
      </w:r>
      <w:bookmarkEnd w:id="238"/>
    </w:p>
    <w:p w14:paraId="1578AF57">
      <w:pPr>
        <w:spacing w:line="576" w:lineRule="exact"/>
        <w:ind w:firstLine="643"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
          <w:sz w:val="32"/>
          <w:szCs w:val="28"/>
          <w:lang w:val="en-US" w:eastAsia="zh-CN"/>
        </w:rPr>
        <w:t>一是</w:t>
      </w:r>
      <w:r>
        <w:rPr>
          <w:rFonts w:hint="eastAsia" w:ascii="Times New Roman" w:hAnsi="Times New Roman" w:eastAsia="方正仿宋简体" w:cs="方正仿宋简体"/>
          <w:bCs/>
          <w:sz w:val="32"/>
          <w:szCs w:val="28"/>
          <w:lang w:val="en-US" w:eastAsia="zh-CN"/>
        </w:rPr>
        <w:t>国家及自治区层面统筹赋能。依托《西藏自治区“十四五”民族手工业发展规划》顶层指引，明确产业总产值发展目标，持续加大专项财政资金投入力度。严格落实产业电价扶持政策，对符合条件的手工业经营主体，依规给予电价超出0.33元/千瓦时部分的差额补贴，有效降低企业生产运营成本，提振产业发展活力；</w:t>
      </w:r>
      <w:r>
        <w:rPr>
          <w:rFonts w:hint="eastAsia" w:ascii="Times New Roman" w:hAnsi="Times New Roman" w:eastAsia="方正仿宋简体" w:cs="方正仿宋简体"/>
          <w:b/>
          <w:sz w:val="32"/>
          <w:szCs w:val="28"/>
          <w:lang w:val="en-US" w:eastAsia="zh-CN"/>
        </w:rPr>
        <w:t>二是</w:t>
      </w:r>
      <w:r>
        <w:rPr>
          <w:rFonts w:hint="eastAsia" w:ascii="Times New Roman" w:hAnsi="Times New Roman" w:eastAsia="方正仿宋简体" w:cs="方正仿宋简体"/>
          <w:bCs/>
          <w:sz w:val="32"/>
          <w:szCs w:val="28"/>
          <w:lang w:val="en-US" w:eastAsia="zh-CN"/>
        </w:rPr>
        <w:t>市级配套政策精准落地。将民族手工业全面纳入全市乡村振兴重点项目库，常态化开展非遗传承人技能提升培训。依托那曲非遗展示展销平台、区外特色产品专馆、线上电商推介矩阵等多元化产业推广载体，搭建产品展示、技艺交流、市场推广平台，聚力培育壮大“极地那曲”区域公共品牌。同步加大电商产业扶持力度，专项支持直播基地建设运营，持续拓宽产品市场化流通渠道；</w:t>
      </w:r>
      <w:r>
        <w:rPr>
          <w:rFonts w:hint="eastAsia" w:ascii="Times New Roman" w:hAnsi="Times New Roman" w:eastAsia="方正仿宋简体" w:cs="方正仿宋简体"/>
          <w:b/>
          <w:sz w:val="32"/>
          <w:szCs w:val="28"/>
          <w:lang w:val="en-US" w:eastAsia="zh-CN"/>
        </w:rPr>
        <w:t>三是</w:t>
      </w:r>
      <w:r>
        <w:rPr>
          <w:rFonts w:hint="eastAsia" w:ascii="Times New Roman" w:hAnsi="Times New Roman" w:eastAsia="方正仿宋简体" w:cs="方正仿宋简体"/>
          <w:bCs/>
          <w:sz w:val="32"/>
          <w:szCs w:val="28"/>
          <w:lang w:val="en-US" w:eastAsia="zh-CN"/>
        </w:rPr>
        <w:t>创新发展模式持续赋能。积极探索“政府引导+企业主导+匠人参与”的协同发展机制，大力推动传统技艺与现代创意设计深度融合。专项扶持非遗数字化保护与产业数字化升级，投入20万元实施索县嘎美乡非遗数字化建设项目，以数字化手段赋能传统民族手工业活态传承、创新发展。</w:t>
      </w:r>
    </w:p>
    <w:p w14:paraId="51EB528E">
      <w:pPr>
        <w:spacing w:line="576" w:lineRule="exact"/>
        <w:ind w:firstLine="640" w:firstLineChars="200"/>
        <w:jc w:val="both"/>
        <w:outlineLvl w:val="2"/>
        <w:rPr>
          <w:rFonts w:hint="eastAsia" w:ascii="Times New Roman" w:hAnsi="Times New Roman" w:eastAsia="方正仿宋简体" w:cs="方正仿宋简体"/>
          <w:bCs/>
          <w:sz w:val="32"/>
          <w:szCs w:val="28"/>
          <w:lang w:eastAsia="zh-CN"/>
        </w:rPr>
      </w:pPr>
      <w:bookmarkStart w:id="239" w:name="_Toc243241469"/>
      <w:r>
        <w:rPr>
          <w:rFonts w:hint="eastAsia" w:ascii="Times New Roman" w:hAnsi="Times New Roman" w:eastAsia="方正仿宋简体" w:cs="方正仿宋简体"/>
          <w:bCs/>
          <w:sz w:val="32"/>
          <w:szCs w:val="28"/>
          <w:lang w:eastAsia="zh-CN"/>
        </w:rPr>
        <w:t>4．核心竞争力</w:t>
      </w:r>
      <w:bookmarkEnd w:id="239"/>
    </w:p>
    <w:p w14:paraId="4BCAE308">
      <w:pPr>
        <w:spacing w:line="576" w:lineRule="exact"/>
        <w:ind w:firstLine="643"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
          <w:sz w:val="32"/>
          <w:szCs w:val="28"/>
          <w:lang w:val="en-US" w:eastAsia="zh-CN"/>
        </w:rPr>
        <w:t>一是</w:t>
      </w:r>
      <w:r>
        <w:rPr>
          <w:rFonts w:hint="eastAsia" w:ascii="Times New Roman" w:hAnsi="Times New Roman" w:eastAsia="方正仿宋简体" w:cs="方正仿宋简体"/>
          <w:bCs/>
          <w:sz w:val="32"/>
          <w:szCs w:val="28"/>
          <w:lang w:val="en-US" w:eastAsia="zh-CN"/>
        </w:rPr>
        <w:t>品类差异化优势显著。全市民族手工业立足本地资源禀赋，重点深耕牦牛绒毛制品、藏式皮具、牦牛骨雕等特色品类，有效规避拉萨、日喀则、山南等区域藏香、唐卡等传统手工业同质化竞争，形成错位发展、优势互补的区域产业分工格局，地域特色辨识度极强；</w:t>
      </w:r>
      <w:r>
        <w:rPr>
          <w:rFonts w:hint="eastAsia" w:ascii="Times New Roman" w:hAnsi="Times New Roman" w:eastAsia="方正仿宋简体" w:cs="方正仿宋简体"/>
          <w:b/>
          <w:sz w:val="32"/>
          <w:szCs w:val="28"/>
          <w:lang w:val="en-US" w:eastAsia="zh-CN"/>
        </w:rPr>
        <w:t>二是</w:t>
      </w:r>
      <w:r>
        <w:rPr>
          <w:rFonts w:hint="eastAsia" w:ascii="Times New Roman" w:hAnsi="Times New Roman" w:eastAsia="方正仿宋简体" w:cs="方正仿宋简体"/>
          <w:bCs/>
          <w:sz w:val="32"/>
          <w:szCs w:val="28"/>
          <w:lang w:val="en-US" w:eastAsia="zh-CN"/>
        </w:rPr>
        <w:t>富民赋能优势扎实稳固。产业以合作社、非遗工坊为核心经营载体，全面推行本地化用工模式，在推动传统非遗技艺活态传承的同时，有效带动农牧民就地就近就业、稳定增收。产品兼具高性价比与独特民俗文化附加值，产业惠民属性、可持续发展优势突出；</w:t>
      </w:r>
      <w:r>
        <w:rPr>
          <w:rFonts w:hint="eastAsia" w:ascii="Times New Roman" w:hAnsi="Times New Roman" w:eastAsia="方正仿宋简体" w:cs="方正仿宋简体"/>
          <w:b/>
          <w:sz w:val="32"/>
          <w:szCs w:val="28"/>
          <w:lang w:val="en-US" w:eastAsia="zh-CN"/>
        </w:rPr>
        <w:t>三是</w:t>
      </w:r>
      <w:r>
        <w:rPr>
          <w:rFonts w:hint="eastAsia" w:ascii="Times New Roman" w:hAnsi="Times New Roman" w:eastAsia="方正仿宋简体" w:cs="方正仿宋简体"/>
          <w:bCs/>
          <w:sz w:val="32"/>
          <w:szCs w:val="28"/>
          <w:lang w:val="en-US" w:eastAsia="zh-CN"/>
        </w:rPr>
        <w:t>市场品牌认可度持续提升。马具、藏式陶器等传统民俗用品本地市场需求旺盛、供需态势稳健；创新改良的女士皮包、文创眼罩等新型文创产品持续打开区外市场、拓宽消费圈层，部分优质产品实现出口外销，那曲民族手工业的市场影响力和核心竞争力稳步提升。</w:t>
      </w:r>
    </w:p>
    <w:p w14:paraId="417494C1">
      <w:pPr>
        <w:spacing w:line="576" w:lineRule="exact"/>
        <w:ind w:firstLine="640" w:firstLineChars="200"/>
        <w:jc w:val="both"/>
        <w:outlineLvl w:val="2"/>
        <w:rPr>
          <w:rFonts w:hint="eastAsia" w:ascii="Times New Roman" w:hAnsi="Times New Roman" w:eastAsia="方正仿宋简体" w:cs="方正仿宋简体"/>
          <w:bCs/>
          <w:sz w:val="32"/>
          <w:szCs w:val="28"/>
          <w:lang w:eastAsia="zh-CN"/>
        </w:rPr>
      </w:pPr>
      <w:bookmarkStart w:id="240" w:name="_Toc243241470"/>
      <w:r>
        <w:rPr>
          <w:rFonts w:hint="eastAsia" w:ascii="Times New Roman" w:hAnsi="Times New Roman" w:eastAsia="方正仿宋简体" w:cs="方正仿宋简体"/>
          <w:bCs/>
          <w:sz w:val="32"/>
          <w:szCs w:val="28"/>
          <w:lang w:eastAsia="zh-CN"/>
        </w:rPr>
        <w:t>5．发展潜力</w:t>
      </w:r>
      <w:bookmarkEnd w:id="240"/>
    </w:p>
    <w:p w14:paraId="307B8AB4">
      <w:pPr>
        <w:spacing w:line="576" w:lineRule="exact"/>
        <w:ind w:firstLine="643"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
          <w:sz w:val="32"/>
          <w:szCs w:val="28"/>
          <w:lang w:val="en-US" w:eastAsia="zh-CN"/>
        </w:rPr>
        <w:t>一是</w:t>
      </w:r>
      <w:r>
        <w:rPr>
          <w:rFonts w:hint="eastAsia" w:ascii="Times New Roman" w:hAnsi="Times New Roman" w:eastAsia="方正仿宋简体" w:cs="方正仿宋简体"/>
          <w:bCs/>
          <w:sz w:val="32"/>
          <w:szCs w:val="28"/>
          <w:lang w:val="en-US" w:eastAsia="zh-CN"/>
        </w:rPr>
        <w:t>文旅融合业态持续扩容。全市文旅产业发展势头强劲，2025年累计接待游客294.35万人次，实现旅游总收入9.57亿元，文旅消费结构持续优化、市场体量稳步壮大。依托丰富文旅资源，非遗工坊体验、手工技艺研学、民俗文化沉浸式体验等新兴业态快速崛起。色尼区尼玛乡文成农牧民综合经济合作社等非遗经营主体，创新推行“直播带货+线下体验”融合发展模式，有效打通非遗产品内外销售渠道，逐步构建形成“观光游览+手工体验+文创消费”的完整文旅消费闭环，为民族手工业转型升级提供广阔场景支撑；</w:t>
      </w:r>
      <w:r>
        <w:rPr>
          <w:rFonts w:hint="eastAsia" w:ascii="Times New Roman" w:hAnsi="Times New Roman" w:eastAsia="方正仿宋简体" w:cs="方正仿宋简体"/>
          <w:b/>
          <w:sz w:val="32"/>
          <w:szCs w:val="28"/>
          <w:lang w:val="en-US" w:eastAsia="zh-CN"/>
        </w:rPr>
        <w:t>二是</w:t>
      </w:r>
      <w:r>
        <w:rPr>
          <w:rFonts w:hint="eastAsia" w:ascii="Times New Roman" w:hAnsi="Times New Roman" w:eastAsia="方正仿宋简体" w:cs="方正仿宋简体"/>
          <w:bCs/>
          <w:sz w:val="32"/>
          <w:szCs w:val="28"/>
          <w:lang w:val="en-US" w:eastAsia="zh-CN"/>
        </w:rPr>
        <w:t>数字赋能转型动能充沛。依托电商直播、跨境电商等数字化新业态，持续拓宽民族手工艺品线上外销市场，有效打破地域销售壁垒。同步推广3D创意设计、非遗数字化建档等现代技术手段，持续提升产品研发、生产管护、技艺传承现代化水平，有效延长非遗技艺生命力与产业发展生命周期，助力传统手工业数字化、智能化转型升级；</w:t>
      </w:r>
      <w:r>
        <w:rPr>
          <w:rFonts w:hint="eastAsia" w:ascii="Times New Roman" w:hAnsi="Times New Roman" w:eastAsia="方正仿宋简体" w:cs="方正仿宋简体"/>
          <w:b/>
          <w:sz w:val="32"/>
          <w:szCs w:val="28"/>
          <w:lang w:val="en-US" w:eastAsia="zh-CN"/>
        </w:rPr>
        <w:t>三是</w:t>
      </w:r>
      <w:r>
        <w:rPr>
          <w:rFonts w:hint="eastAsia" w:ascii="Times New Roman" w:hAnsi="Times New Roman" w:eastAsia="方正仿宋简体" w:cs="方正仿宋简体"/>
          <w:bCs/>
          <w:sz w:val="32"/>
          <w:szCs w:val="28"/>
          <w:lang w:val="en-US" w:eastAsia="zh-CN"/>
        </w:rPr>
        <w:t>产业链条提质空间充足。产业发展逐步摆脱初级加工模式，持续向精深加工、个性化高端定制业态延伸，重点发展高端定制皮具、收藏级精品藏毯等高附加值产品。深度联动那曲牦牛特色主导产业，依托优质原生原料资源持续提升产品品质与产业附加值，聚力打造“游牧匠心”“极地手造”区域</w:t>
      </w:r>
      <w:bookmarkStart w:id="241" w:name="OLE_LINK138"/>
      <w:r>
        <w:rPr>
          <w:rFonts w:hint="eastAsia" w:ascii="Times New Roman" w:hAnsi="Times New Roman" w:eastAsia="方正仿宋简体" w:cs="方正仿宋简体"/>
          <w:bCs/>
          <w:sz w:val="32"/>
          <w:szCs w:val="28"/>
          <w:lang w:val="en-US" w:eastAsia="zh-CN"/>
        </w:rPr>
        <w:t>特色</w:t>
      </w:r>
      <w:bookmarkEnd w:id="241"/>
      <w:r>
        <w:rPr>
          <w:rFonts w:hint="eastAsia" w:ascii="Times New Roman" w:hAnsi="Times New Roman" w:eastAsia="方正仿宋简体" w:cs="方正仿宋简体"/>
          <w:bCs/>
          <w:sz w:val="32"/>
          <w:szCs w:val="28"/>
          <w:lang w:val="en-US" w:eastAsia="zh-CN"/>
        </w:rPr>
        <w:t>公共品牌，</w:t>
      </w:r>
      <w:r>
        <w:rPr>
          <w:rFonts w:hint="eastAsia" w:ascii="Times New Roman" w:hAnsi="Times New Roman" w:eastAsia="方正仿宋简体" w:cs="方正仿宋简体"/>
          <w:bCs/>
          <w:sz w:val="32"/>
          <w:szCs w:val="28"/>
          <w:lang w:eastAsia="zh-CN"/>
        </w:rPr>
        <w:t>构建“市级公共品牌+经营主体自有子品牌”双品牌运行体系，推</w:t>
      </w:r>
      <w:r>
        <w:rPr>
          <w:rFonts w:hint="eastAsia" w:ascii="Times New Roman" w:hAnsi="Times New Roman" w:eastAsia="方正仿宋简体" w:cs="方正仿宋简体"/>
          <w:bCs/>
          <w:sz w:val="32"/>
          <w:szCs w:val="28"/>
          <w:lang w:val="en-US" w:eastAsia="zh-CN"/>
        </w:rPr>
        <w:t>动产业品牌化、高端化、精品化发展；</w:t>
      </w:r>
      <w:r>
        <w:rPr>
          <w:rFonts w:hint="eastAsia" w:ascii="Times New Roman" w:hAnsi="Times New Roman" w:eastAsia="方正仿宋简体" w:cs="方正仿宋简体"/>
          <w:b/>
          <w:sz w:val="32"/>
          <w:szCs w:val="28"/>
          <w:lang w:val="en-US" w:eastAsia="zh-CN"/>
        </w:rPr>
        <w:t>四是</w:t>
      </w:r>
      <w:r>
        <w:rPr>
          <w:rFonts w:hint="eastAsia" w:ascii="Times New Roman" w:hAnsi="Times New Roman" w:eastAsia="方正仿宋简体" w:cs="方正仿宋简体"/>
          <w:bCs/>
          <w:sz w:val="32"/>
          <w:szCs w:val="28"/>
          <w:lang w:val="en-US" w:eastAsia="zh-CN"/>
        </w:rPr>
        <w:t>富民增收效能持续释放。民族手工业劳动密集、就近就业属性突出，未来可持续吸纳更多农牧民群众就地就近稳定就业，有效拓宽农牧民多元增收渠道、提升人均增收水平，为巩固拓展脱贫攻坚成果、推进乡村振兴、助力藏北高原共同富裕建设提供坚实产业支撑。</w:t>
      </w:r>
    </w:p>
    <w:p w14:paraId="0E84E606">
      <w:pPr>
        <w:pStyle w:val="8"/>
        <w:overflowPunct w:val="0"/>
        <w:topLinePunct/>
        <w:autoSpaceDE/>
        <w:autoSpaceDN/>
        <w:spacing w:before="0" w:line="576" w:lineRule="exact"/>
        <w:ind w:left="0" w:firstLine="640" w:firstLineChars="200"/>
        <w:jc w:val="both"/>
        <w:outlineLvl w:val="1"/>
        <w:rPr>
          <w:rFonts w:ascii="Times New Roman" w:hAnsi="Times New Roman" w:eastAsia="方正楷体简体" w:cs="方正仿宋简体"/>
          <w:sz w:val="32"/>
          <w:szCs w:val="32"/>
          <w:lang w:eastAsia="zh-CN"/>
        </w:rPr>
      </w:pPr>
      <w:bookmarkStart w:id="242" w:name="_Toc243241471"/>
      <w:r>
        <w:rPr>
          <w:rFonts w:hint="eastAsia" w:ascii="Times New Roman" w:hAnsi="Times New Roman" w:eastAsia="方正楷体简体" w:cs="方正仿宋简体"/>
          <w:sz w:val="32"/>
          <w:szCs w:val="32"/>
        </w:rPr>
        <w:t>（四）藏医药产业</w:t>
      </w:r>
      <w:bookmarkEnd w:id="242"/>
    </w:p>
    <w:p w14:paraId="1B79245C">
      <w:pPr>
        <w:spacing w:line="576" w:lineRule="exact"/>
        <w:ind w:firstLine="640" w:firstLineChars="200"/>
        <w:jc w:val="both"/>
        <w:rPr>
          <w:rFonts w:ascii="Times New Roman" w:hAnsi="Times New Roman" w:eastAsia="方正仿宋简体" w:cs="方正仿宋简体"/>
          <w:sz w:val="32"/>
          <w:szCs w:val="28"/>
          <w:lang w:val="en-US" w:eastAsia="zh-CN"/>
        </w:rPr>
      </w:pPr>
      <w:r>
        <w:rPr>
          <w:rFonts w:hint="eastAsia" w:ascii="Times New Roman" w:hAnsi="Times New Roman" w:eastAsia="方正仿宋简体" w:cs="方正仿宋简体"/>
          <w:sz w:val="32"/>
          <w:szCs w:val="28"/>
          <w:lang w:val="en-US" w:eastAsia="zh-CN"/>
        </w:rPr>
        <w:t>藏医药产业是那曲市兼具民生保障、健康服务、文化传承、富民增收功能的基础性特色产业，是全市大健康体系的核心支撑、高原特色产业体系的重要组成部分，也是传承藏北优秀传统文化、夯实基层公共卫生服务、培育绿色康养经济的关键载体。近年来，那曲市立足高海拔独特道地藏药材资源禀赋，坚持守正创新、传承赋能、规范发展，持续完善藏医药医疗服务、药材种植、制剂生产、科研转化、文旅融合全链条体系，推动藏医药从传统民间技艺向标准化、规范化、产业化、品牌化转型升级。产业既承担着守护高原群众身心健康的基础性公共服务职能，又具备绿色低碳、附加值高、融合性强的产业优势，是稳民生、保健康、传文脉、促增收的基础性优势产业。</w:t>
      </w:r>
    </w:p>
    <w:p w14:paraId="1174AF66">
      <w:pPr>
        <w:spacing w:line="576" w:lineRule="exact"/>
        <w:ind w:firstLine="640" w:firstLineChars="200"/>
        <w:jc w:val="both"/>
        <w:outlineLvl w:val="2"/>
        <w:rPr>
          <w:rFonts w:ascii="Times New Roman" w:hAnsi="Times New Roman" w:eastAsia="方正仿宋简体" w:cs="方正仿宋简体"/>
          <w:bCs/>
          <w:sz w:val="32"/>
          <w:szCs w:val="28"/>
          <w:lang w:eastAsia="zh-CN"/>
        </w:rPr>
      </w:pPr>
      <w:bookmarkStart w:id="243" w:name="_Toc243241472"/>
      <w:r>
        <w:rPr>
          <w:rFonts w:hint="eastAsia" w:ascii="Times New Roman" w:hAnsi="Times New Roman" w:eastAsia="方正仿宋简体" w:cs="方正仿宋简体"/>
          <w:bCs/>
          <w:sz w:val="32"/>
          <w:szCs w:val="28"/>
          <w:lang w:eastAsia="zh-CN"/>
        </w:rPr>
        <w:t>1．资源优势</w:t>
      </w:r>
      <w:bookmarkEnd w:id="243"/>
    </w:p>
    <w:p w14:paraId="44798497">
      <w:pPr>
        <w:spacing w:line="576" w:lineRule="exact"/>
        <w:ind w:firstLine="643" w:firstLineChars="200"/>
        <w:jc w:val="both"/>
        <w:rPr>
          <w:rFonts w:ascii="Times New Roman" w:hAnsi="Times New Roman" w:eastAsia="方正仿宋简体" w:cs="方正仿宋简体"/>
          <w:sz w:val="32"/>
          <w:szCs w:val="28"/>
          <w:lang w:val="en-US" w:eastAsia="zh-CN"/>
        </w:rPr>
      </w:pPr>
      <w:r>
        <w:rPr>
          <w:rFonts w:hint="eastAsia" w:ascii="Times New Roman" w:hAnsi="Times New Roman" w:eastAsia="方正仿宋简体" w:cs="方正仿宋简体"/>
          <w:b/>
          <w:bCs/>
          <w:sz w:val="32"/>
          <w:szCs w:val="28"/>
          <w:lang w:val="en-US" w:eastAsia="zh-CN"/>
        </w:rPr>
        <w:t>一是</w:t>
      </w:r>
      <w:r>
        <w:rPr>
          <w:rFonts w:hint="eastAsia" w:ascii="Times New Roman" w:hAnsi="Times New Roman" w:eastAsia="方正仿宋简体" w:cs="方正仿宋简体"/>
          <w:sz w:val="32"/>
          <w:szCs w:val="28"/>
          <w:lang w:val="en-US" w:eastAsia="zh-CN"/>
        </w:rPr>
        <w:t>道地药材资源稀缺独特。那曲市地处藏北高原核心区域，海拔高、温差大、日照足、无污染，独特的高寒生态孕育了品质优良、药效纯正的道地藏药材资源，贝母、雪莲花、红景天、那曲冬虫夏草等特色药材存量丰富、药性独特、市场稀缺度高，是全区重要的道地藏药材原生宝库，为藏医药产业原生态、高品质发展筑牢原料根基；</w:t>
      </w:r>
      <w:r>
        <w:rPr>
          <w:rFonts w:hint="eastAsia" w:ascii="Times New Roman" w:hAnsi="Times New Roman" w:eastAsia="方正仿宋简体" w:cs="方正仿宋简体"/>
          <w:b/>
          <w:bCs/>
          <w:sz w:val="32"/>
          <w:szCs w:val="28"/>
          <w:lang w:val="en-US" w:eastAsia="zh-CN"/>
        </w:rPr>
        <w:t>二是</w:t>
      </w:r>
      <w:r>
        <w:rPr>
          <w:rFonts w:hint="eastAsia" w:ascii="Times New Roman" w:hAnsi="Times New Roman" w:eastAsia="方正仿宋简体" w:cs="方正仿宋简体"/>
          <w:sz w:val="32"/>
          <w:szCs w:val="28"/>
          <w:lang w:val="en-US" w:eastAsia="zh-CN"/>
        </w:rPr>
        <w:t>传统医技底蕴深厚。藏医药在那曲传承历史悠久，积淀了成熟的传统炮制工艺、古方验方和特色诊疗技法，金针疗法、藏药熏蒸、传统药浴等非药物诊疗手段实用性强、适配高原常见病、多发病，基层认可度高、群众基础深厚，形成独具藏北特色的藏医药技术体系与文化体系；</w:t>
      </w:r>
      <w:r>
        <w:rPr>
          <w:rFonts w:hint="eastAsia" w:ascii="Times New Roman" w:hAnsi="Times New Roman" w:eastAsia="方正仿宋简体" w:cs="方正仿宋简体"/>
          <w:b/>
          <w:bCs/>
          <w:sz w:val="32"/>
          <w:szCs w:val="28"/>
          <w:lang w:val="en-US" w:eastAsia="zh-CN"/>
        </w:rPr>
        <w:t>三是</w:t>
      </w:r>
      <w:r>
        <w:rPr>
          <w:rFonts w:hint="eastAsia" w:ascii="Times New Roman" w:hAnsi="Times New Roman" w:eastAsia="方正仿宋简体" w:cs="方正仿宋简体"/>
          <w:sz w:val="32"/>
          <w:szCs w:val="28"/>
          <w:lang w:val="en-US" w:eastAsia="zh-CN"/>
        </w:rPr>
        <w:t>生态基底绿色有机。那曲全域生态环境优良、人为干扰少、水土洁净，药材野生生长环境原生态特征突出，天然具备绿色、有机、无污染品质优势，契合当下大健康、原生态康养消费升级趋势，产品差异化、品质化、高端化竞争根基坚实；</w:t>
      </w:r>
      <w:r>
        <w:rPr>
          <w:rFonts w:hint="eastAsia" w:ascii="Times New Roman" w:hAnsi="Times New Roman" w:eastAsia="方正仿宋简体" w:cs="方正仿宋简体"/>
          <w:b/>
          <w:bCs/>
          <w:sz w:val="32"/>
          <w:szCs w:val="28"/>
          <w:lang w:val="en-US" w:eastAsia="zh-CN"/>
        </w:rPr>
        <w:t>四是</w:t>
      </w:r>
      <w:r>
        <w:rPr>
          <w:rFonts w:hint="eastAsia" w:ascii="Times New Roman" w:hAnsi="Times New Roman" w:eastAsia="方正仿宋简体" w:cs="方正仿宋简体"/>
          <w:sz w:val="32"/>
          <w:szCs w:val="28"/>
          <w:lang w:val="en-US" w:eastAsia="zh-CN"/>
        </w:rPr>
        <w:t>产业受众基础广泛稳固。藏医药适配高原高寒气候特征，对高原性疾病、慢性病、亚健康调理针对性强、副作用小、适配度高，长期以来为广大农牧民提供便捷普惠的健康服务，在基层公共卫生保障、日常康养保健中具备不可替代的基础性作用。</w:t>
      </w:r>
    </w:p>
    <w:p w14:paraId="04E078F7">
      <w:pPr>
        <w:spacing w:line="576" w:lineRule="exact"/>
        <w:ind w:firstLine="640" w:firstLineChars="200"/>
        <w:jc w:val="both"/>
        <w:outlineLvl w:val="2"/>
        <w:rPr>
          <w:rFonts w:ascii="Times New Roman" w:hAnsi="Times New Roman" w:eastAsia="方正仿宋简体" w:cs="方正仿宋简体"/>
          <w:bCs/>
          <w:sz w:val="32"/>
          <w:szCs w:val="28"/>
          <w:lang w:eastAsia="zh-CN"/>
        </w:rPr>
      </w:pPr>
      <w:bookmarkStart w:id="244" w:name="_Toc243241473"/>
      <w:r>
        <w:rPr>
          <w:rFonts w:hint="eastAsia" w:ascii="Times New Roman" w:hAnsi="Times New Roman" w:eastAsia="方正仿宋简体" w:cs="方正仿宋简体"/>
          <w:bCs/>
          <w:sz w:val="32"/>
          <w:szCs w:val="28"/>
          <w:lang w:eastAsia="zh-CN"/>
        </w:rPr>
        <w:t>2．产业环境</w:t>
      </w:r>
      <w:bookmarkEnd w:id="244"/>
    </w:p>
    <w:p w14:paraId="328D429F">
      <w:pPr>
        <w:spacing w:line="576" w:lineRule="exact"/>
        <w:ind w:firstLine="643" w:firstLineChars="200"/>
        <w:jc w:val="both"/>
        <w:rPr>
          <w:rFonts w:ascii="Times New Roman" w:hAnsi="Times New Roman" w:eastAsia="方正仿宋简体" w:cs="方正仿宋简体"/>
          <w:sz w:val="32"/>
          <w:szCs w:val="28"/>
          <w:lang w:val="en-US" w:eastAsia="zh-CN"/>
        </w:rPr>
      </w:pPr>
      <w:r>
        <w:rPr>
          <w:rFonts w:hint="eastAsia" w:ascii="Times New Roman" w:hAnsi="Times New Roman" w:eastAsia="方正仿宋简体" w:cs="方正仿宋简体"/>
          <w:b/>
          <w:bCs/>
          <w:sz w:val="32"/>
          <w:szCs w:val="28"/>
          <w:lang w:val="en-US" w:eastAsia="zh-CN"/>
        </w:rPr>
        <w:t>一是</w:t>
      </w:r>
      <w:r>
        <w:rPr>
          <w:rFonts w:hint="eastAsia" w:ascii="Times New Roman" w:hAnsi="Times New Roman" w:eastAsia="方正仿宋简体" w:cs="方正仿宋简体"/>
          <w:sz w:val="32"/>
          <w:szCs w:val="28"/>
          <w:lang w:val="en-US" w:eastAsia="zh-CN"/>
        </w:rPr>
        <w:t>生产体系日趋规范成型。全市逐步构建形成“药材保育种植、原料加工、制剂生产、质量管控、临床应用”一体化产业体系。市藏医院制剂室通过国家GMP认证，拥有现代化标准化生产线，可规模化生产藏药品种200余个，年产量稳定、产能持续释放。申扎县等县域建成标准化制剂车间，配齐精密检测设备，实现藏药制剂科学化、规范化量产，推动产业从传统作坊式加工向现代标准化生产转型；</w:t>
      </w:r>
      <w:r>
        <w:rPr>
          <w:rFonts w:hint="eastAsia" w:ascii="Times New Roman" w:hAnsi="Times New Roman" w:eastAsia="方正仿宋简体" w:cs="方正仿宋简体"/>
          <w:b/>
          <w:bCs/>
          <w:sz w:val="32"/>
          <w:szCs w:val="28"/>
          <w:lang w:val="en-US" w:eastAsia="zh-CN"/>
        </w:rPr>
        <w:t>二是</w:t>
      </w:r>
      <w:r>
        <w:rPr>
          <w:rFonts w:hint="eastAsia" w:ascii="Times New Roman" w:hAnsi="Times New Roman" w:eastAsia="方正仿宋简体" w:cs="方正仿宋简体"/>
          <w:sz w:val="32"/>
          <w:szCs w:val="28"/>
          <w:lang w:val="en-US" w:eastAsia="zh-CN"/>
        </w:rPr>
        <w:t>经营与服务体系持续完善。以市级藏医院为龙头、县域藏医机构为支撑、基层卫生室为延伸，全域藏医药服务网络基本覆盖。同步培育藏医药产业联盟，整合技术、原料、市场资源，推动行业抱团发展、规范发展，产业组织化、集约化水平持续提升，产业整体规模稳步壮大；</w:t>
      </w:r>
      <w:r>
        <w:rPr>
          <w:rFonts w:hint="eastAsia" w:ascii="Times New Roman" w:hAnsi="Times New Roman" w:eastAsia="方正仿宋简体" w:cs="方正仿宋简体"/>
          <w:b/>
          <w:bCs/>
          <w:sz w:val="32"/>
          <w:szCs w:val="28"/>
          <w:lang w:val="en-US" w:eastAsia="zh-CN"/>
        </w:rPr>
        <w:t>三是</w:t>
      </w:r>
      <w:r>
        <w:rPr>
          <w:rFonts w:hint="eastAsia" w:ascii="Times New Roman" w:hAnsi="Times New Roman" w:eastAsia="方正仿宋简体" w:cs="方正仿宋简体"/>
          <w:sz w:val="32"/>
          <w:szCs w:val="28"/>
          <w:lang w:val="en-US" w:eastAsia="zh-CN"/>
        </w:rPr>
        <w:t>产品品类丰富、应用场景多元。全市藏医药产品涵盖临床治疗制剂、康养保健制品、特色外用药剂等多元品类，64种备案藏药全部纳入医保目录，诊疗服务与制剂产品普惠性、实用性显著提升，有效打通“临床使用、医保覆盖、群众受益”的良性循环；</w:t>
      </w:r>
      <w:r>
        <w:rPr>
          <w:rFonts w:hint="eastAsia" w:ascii="Times New Roman" w:hAnsi="Times New Roman" w:eastAsia="方正仿宋简体" w:cs="方正仿宋简体"/>
          <w:b/>
          <w:bCs/>
          <w:sz w:val="32"/>
          <w:szCs w:val="28"/>
          <w:lang w:val="en-US" w:eastAsia="zh-CN"/>
        </w:rPr>
        <w:t>四是</w:t>
      </w:r>
      <w:r>
        <w:rPr>
          <w:rFonts w:hint="eastAsia" w:ascii="Times New Roman" w:hAnsi="Times New Roman" w:eastAsia="方正仿宋简体" w:cs="方正仿宋简体"/>
          <w:sz w:val="32"/>
          <w:szCs w:val="28"/>
          <w:lang w:val="en-US" w:eastAsia="zh-CN"/>
        </w:rPr>
        <w:t>产学研转化效能持续提升。持续推进传统古方挖掘、制剂改良、技术攻关，常态化开展藏药品种注册备案、目录更新、质量标准升级，依托科研赋能持续提升藏药制剂安全性、稳定性、有效性，产业现代化发展底座持续夯实。</w:t>
      </w:r>
    </w:p>
    <w:p w14:paraId="70418BA6">
      <w:pPr>
        <w:spacing w:line="576" w:lineRule="exact"/>
        <w:ind w:firstLine="640" w:firstLineChars="200"/>
        <w:jc w:val="both"/>
        <w:outlineLvl w:val="2"/>
        <w:rPr>
          <w:rFonts w:ascii="Times New Roman" w:hAnsi="Times New Roman" w:eastAsia="方正仿宋简体" w:cs="方正仿宋简体"/>
          <w:bCs/>
          <w:sz w:val="32"/>
          <w:szCs w:val="28"/>
          <w:lang w:eastAsia="zh-CN"/>
        </w:rPr>
      </w:pPr>
      <w:bookmarkStart w:id="245" w:name="_Toc243241474"/>
      <w:r>
        <w:rPr>
          <w:rFonts w:hint="eastAsia" w:ascii="Times New Roman" w:hAnsi="Times New Roman" w:eastAsia="方正仿宋简体" w:cs="方正仿宋简体"/>
          <w:bCs/>
          <w:sz w:val="32"/>
          <w:szCs w:val="28"/>
          <w:lang w:eastAsia="zh-CN"/>
        </w:rPr>
        <w:t>3．政策支持</w:t>
      </w:r>
      <w:bookmarkEnd w:id="245"/>
    </w:p>
    <w:p w14:paraId="1D9760DC">
      <w:pPr>
        <w:spacing w:line="576" w:lineRule="exact"/>
        <w:ind w:firstLine="643" w:firstLineChars="200"/>
        <w:jc w:val="both"/>
        <w:rPr>
          <w:rFonts w:ascii="Times New Roman" w:hAnsi="Times New Roman" w:eastAsia="方正仿宋简体" w:cs="方正仿宋简体"/>
          <w:sz w:val="32"/>
          <w:szCs w:val="28"/>
          <w:lang w:val="en-US" w:eastAsia="zh-CN"/>
        </w:rPr>
      </w:pPr>
      <w:r>
        <w:rPr>
          <w:rFonts w:hint="eastAsia" w:ascii="Times New Roman" w:hAnsi="Times New Roman" w:eastAsia="方正仿宋简体" w:cs="方正仿宋简体"/>
          <w:b/>
          <w:bCs/>
          <w:sz w:val="32"/>
          <w:szCs w:val="28"/>
          <w:lang w:val="en-US" w:eastAsia="zh-CN"/>
        </w:rPr>
        <w:t>一是</w:t>
      </w:r>
      <w:r>
        <w:rPr>
          <w:rFonts w:hint="eastAsia" w:ascii="Times New Roman" w:hAnsi="Times New Roman" w:eastAsia="方正仿宋简体" w:cs="方正仿宋简体"/>
          <w:sz w:val="32"/>
          <w:szCs w:val="28"/>
          <w:lang w:val="en-US" w:eastAsia="zh-CN"/>
        </w:rPr>
        <w:t>上级规划统筹引领。产业发展全面纳入自治区藏医药中长期发展规划，享受民族医药传承创新、高原大健康产业发展、乡村特色产业培育等专项政策赋能，持续获得资金、项目、技术倾斜支持，为产业规范化、体系化发展提供顶层制度保障；</w:t>
      </w:r>
      <w:r>
        <w:rPr>
          <w:rFonts w:hint="eastAsia" w:ascii="Times New Roman" w:hAnsi="Times New Roman" w:eastAsia="方正仿宋简体" w:cs="方正仿宋简体"/>
          <w:b/>
          <w:bCs/>
          <w:sz w:val="32"/>
          <w:szCs w:val="28"/>
          <w:lang w:val="en-US" w:eastAsia="zh-CN"/>
        </w:rPr>
        <w:t>二是</w:t>
      </w:r>
      <w:r>
        <w:rPr>
          <w:rFonts w:hint="eastAsia" w:ascii="Times New Roman" w:hAnsi="Times New Roman" w:eastAsia="方正仿宋简体" w:cs="方正仿宋简体"/>
          <w:sz w:val="32"/>
          <w:szCs w:val="28"/>
          <w:lang w:val="en-US" w:eastAsia="zh-CN"/>
        </w:rPr>
        <w:t>医保政策精准惠民托底。持续优化藏医药医保保障机制，下调藏医药个人自付比例，将合规藏药制剂、藏医特色诊疗项目全面纳入医保报销范围，大幅降低群众就医康养成本，有效扩大藏医药临床应用覆盖面和产业市场空间；</w:t>
      </w:r>
      <w:r>
        <w:rPr>
          <w:rFonts w:hint="eastAsia" w:ascii="Times New Roman" w:hAnsi="Times New Roman" w:eastAsia="方正仿宋简体" w:cs="方正仿宋简体"/>
          <w:b/>
          <w:bCs/>
          <w:sz w:val="32"/>
          <w:szCs w:val="28"/>
          <w:lang w:val="en-US" w:eastAsia="zh-CN"/>
        </w:rPr>
        <w:t>三是</w:t>
      </w:r>
      <w:r>
        <w:rPr>
          <w:rFonts w:hint="eastAsia" w:ascii="Times New Roman" w:hAnsi="Times New Roman" w:eastAsia="方正仿宋简体" w:cs="方正仿宋简体"/>
          <w:sz w:val="32"/>
          <w:szCs w:val="28"/>
          <w:lang w:val="en-US" w:eastAsia="zh-CN"/>
        </w:rPr>
        <w:t>市级专项扶持落地见效。统筹整合卫生健康、产业发展、乡村振兴等专项资金，重点支持制剂室升级改造、精密检测设备购置、药材品种注册备案、技艺人才培育传承。持续推进藏医药标准化建设、规范化生产、品牌化培育，全方位护航产业提质扩容；</w:t>
      </w:r>
      <w:r>
        <w:rPr>
          <w:rFonts w:hint="eastAsia" w:ascii="Times New Roman" w:hAnsi="Times New Roman" w:eastAsia="方正仿宋简体" w:cs="方正仿宋简体"/>
          <w:b/>
          <w:bCs/>
          <w:sz w:val="32"/>
          <w:szCs w:val="28"/>
          <w:lang w:val="en-US" w:eastAsia="zh-CN"/>
        </w:rPr>
        <w:t>四是</w:t>
      </w:r>
      <w:r>
        <w:rPr>
          <w:rFonts w:hint="eastAsia" w:ascii="Times New Roman" w:hAnsi="Times New Roman" w:eastAsia="方正仿宋简体" w:cs="方正仿宋简体"/>
          <w:sz w:val="32"/>
          <w:szCs w:val="28"/>
          <w:lang w:val="en-US" w:eastAsia="zh-CN"/>
        </w:rPr>
        <w:t>传承保护政策体系完备。健全藏医药非遗保护、技艺传承、人才培养长效机制，支持老藏医带徒传艺、传统工艺活态传承，推动古方验方整理挖掘、典籍资料数字化保护，实现文化传承与产业发展双向赋能。</w:t>
      </w:r>
    </w:p>
    <w:p w14:paraId="536B8DA5">
      <w:pPr>
        <w:spacing w:line="576" w:lineRule="exact"/>
        <w:ind w:firstLine="640" w:firstLineChars="200"/>
        <w:jc w:val="both"/>
        <w:outlineLvl w:val="2"/>
        <w:rPr>
          <w:rFonts w:ascii="Times New Roman" w:hAnsi="Times New Roman" w:eastAsia="方正仿宋简体" w:cs="方正仿宋简体"/>
          <w:bCs/>
          <w:sz w:val="32"/>
          <w:szCs w:val="28"/>
          <w:lang w:eastAsia="zh-CN"/>
        </w:rPr>
      </w:pPr>
      <w:bookmarkStart w:id="246" w:name="_Toc243241475"/>
      <w:r>
        <w:rPr>
          <w:rFonts w:hint="eastAsia" w:ascii="Times New Roman" w:hAnsi="Times New Roman" w:eastAsia="方正仿宋简体" w:cs="方正仿宋简体"/>
          <w:bCs/>
          <w:sz w:val="32"/>
          <w:szCs w:val="28"/>
          <w:lang w:eastAsia="zh-CN"/>
        </w:rPr>
        <w:t>4．核心竞争力</w:t>
      </w:r>
      <w:bookmarkEnd w:id="246"/>
    </w:p>
    <w:p w14:paraId="6025D5D8">
      <w:pPr>
        <w:spacing w:line="576" w:lineRule="exact"/>
        <w:ind w:firstLine="643" w:firstLineChars="200"/>
        <w:jc w:val="both"/>
        <w:rPr>
          <w:rFonts w:ascii="Times New Roman" w:hAnsi="Times New Roman" w:eastAsia="方正仿宋简体" w:cs="方正仿宋简体"/>
          <w:sz w:val="32"/>
          <w:szCs w:val="28"/>
          <w:lang w:val="en-US" w:eastAsia="zh-CN"/>
        </w:rPr>
      </w:pPr>
      <w:r>
        <w:rPr>
          <w:rFonts w:hint="eastAsia" w:ascii="Times New Roman" w:hAnsi="Times New Roman" w:eastAsia="方正仿宋简体" w:cs="方正仿宋简体"/>
          <w:b/>
          <w:bCs/>
          <w:sz w:val="32"/>
          <w:szCs w:val="28"/>
          <w:lang w:val="en-US" w:eastAsia="zh-CN"/>
        </w:rPr>
        <w:t>一是</w:t>
      </w:r>
      <w:r>
        <w:rPr>
          <w:rFonts w:hint="eastAsia" w:ascii="Times New Roman" w:hAnsi="Times New Roman" w:eastAsia="方正仿宋简体" w:cs="方正仿宋简体"/>
          <w:sz w:val="32"/>
          <w:szCs w:val="28"/>
          <w:lang w:val="en-US" w:eastAsia="zh-CN"/>
        </w:rPr>
        <w:t>资源禀赋差异化不可复制。依托藏北高海拔独有生态，道地藏药材药性、品质区别于其他区域，原料稀缺性、原生态属性、药效优势突出，形成天然产品壁垒，高端康养市场辨识度和竞争力显著；</w:t>
      </w:r>
      <w:r>
        <w:rPr>
          <w:rFonts w:hint="eastAsia" w:ascii="Times New Roman" w:hAnsi="Times New Roman" w:eastAsia="方正仿宋简体" w:cs="方正仿宋简体"/>
          <w:b/>
          <w:bCs/>
          <w:sz w:val="32"/>
          <w:szCs w:val="28"/>
          <w:lang w:val="en-US" w:eastAsia="zh-CN"/>
        </w:rPr>
        <w:t>二是</w:t>
      </w:r>
      <w:r>
        <w:rPr>
          <w:rFonts w:hint="eastAsia" w:ascii="Times New Roman" w:hAnsi="Times New Roman" w:eastAsia="方正仿宋简体" w:cs="方正仿宋简体"/>
          <w:sz w:val="32"/>
          <w:szCs w:val="28"/>
          <w:lang w:val="en-US" w:eastAsia="zh-CN"/>
        </w:rPr>
        <w:t>医技体系本土化适配性强。那曲藏医药诊疗技法、药剂配方长期适配高原人居环境和疾病特征，诊疗针对性强、康养效果显著，基层认可度高、群众粘性强，具备现代医疗无法替代的本土化特色优势；</w:t>
      </w:r>
      <w:r>
        <w:rPr>
          <w:rFonts w:hint="eastAsia" w:ascii="Times New Roman" w:hAnsi="Times New Roman" w:eastAsia="方正仿宋简体" w:cs="方正仿宋简体"/>
          <w:b/>
          <w:bCs/>
          <w:sz w:val="32"/>
          <w:szCs w:val="28"/>
          <w:lang w:val="en-US" w:eastAsia="zh-CN"/>
        </w:rPr>
        <w:t>三是</w:t>
      </w:r>
      <w:r>
        <w:rPr>
          <w:rFonts w:hint="eastAsia" w:ascii="Times New Roman" w:hAnsi="Times New Roman" w:eastAsia="方正仿宋简体" w:cs="方正仿宋简体"/>
          <w:sz w:val="32"/>
          <w:szCs w:val="28"/>
          <w:lang w:val="en-US" w:eastAsia="zh-CN"/>
        </w:rPr>
        <w:t>产业普惠属性优势明显。藏医药兼具公共卫生服务属性与产业富民属性，既能够补齐基层医疗服务短板、筑牢高原健康保障防线，又可带动药材种植、加工生产、就业增收，民生价值与经济价值双向凸显；</w:t>
      </w:r>
      <w:r>
        <w:rPr>
          <w:rFonts w:hint="eastAsia" w:ascii="Times New Roman" w:hAnsi="Times New Roman" w:eastAsia="方正仿宋简体" w:cs="方正仿宋简体"/>
          <w:b/>
          <w:bCs/>
          <w:sz w:val="32"/>
          <w:szCs w:val="28"/>
          <w:lang w:val="en-US" w:eastAsia="zh-CN"/>
        </w:rPr>
        <w:t>四是</w:t>
      </w:r>
      <w:r>
        <w:rPr>
          <w:rFonts w:hint="eastAsia" w:ascii="Times New Roman" w:hAnsi="Times New Roman" w:eastAsia="方正仿宋简体" w:cs="方正仿宋简体"/>
          <w:sz w:val="32"/>
          <w:szCs w:val="28"/>
          <w:lang w:val="en-US" w:eastAsia="zh-CN"/>
        </w:rPr>
        <w:t>传承创新融合优势凸显。坚守传统古法炮制核心技艺，同步融合现代制药标准、质量管控体系和科研技术手段，实现传统技艺守正、现代技术赋能、产业标准升级，综合竞争优势持续放大。</w:t>
      </w:r>
    </w:p>
    <w:p w14:paraId="2689B6AE">
      <w:pPr>
        <w:spacing w:line="576" w:lineRule="exact"/>
        <w:ind w:firstLine="640" w:firstLineChars="200"/>
        <w:jc w:val="both"/>
        <w:outlineLvl w:val="2"/>
        <w:rPr>
          <w:rFonts w:ascii="Times New Roman" w:hAnsi="Times New Roman" w:eastAsia="方正仿宋简体" w:cs="方正仿宋简体"/>
          <w:bCs/>
          <w:sz w:val="32"/>
          <w:szCs w:val="28"/>
          <w:lang w:eastAsia="zh-CN"/>
        </w:rPr>
      </w:pPr>
      <w:bookmarkStart w:id="247" w:name="_Toc243241476"/>
      <w:r>
        <w:rPr>
          <w:rFonts w:hint="eastAsia" w:ascii="Times New Roman" w:hAnsi="Times New Roman" w:eastAsia="方正仿宋简体" w:cs="方正仿宋简体"/>
          <w:bCs/>
          <w:sz w:val="32"/>
          <w:szCs w:val="28"/>
          <w:lang w:eastAsia="zh-CN"/>
        </w:rPr>
        <w:t>5．发展潜力</w:t>
      </w:r>
      <w:bookmarkEnd w:id="247"/>
    </w:p>
    <w:p w14:paraId="0C320AAE">
      <w:pPr>
        <w:spacing w:line="576" w:lineRule="exact"/>
        <w:ind w:firstLine="643" w:firstLineChars="200"/>
        <w:jc w:val="both"/>
        <w:rPr>
          <w:rFonts w:ascii="Times New Roman" w:hAnsi="Times New Roman" w:eastAsia="方正仿宋简体" w:cs="方正仿宋简体"/>
          <w:sz w:val="32"/>
          <w:szCs w:val="28"/>
          <w:lang w:val="en-US" w:eastAsia="zh-CN"/>
        </w:rPr>
      </w:pPr>
      <w:r>
        <w:rPr>
          <w:rFonts w:hint="eastAsia" w:ascii="Times New Roman" w:hAnsi="Times New Roman" w:eastAsia="方正仿宋简体" w:cs="方正仿宋简体"/>
          <w:b/>
          <w:bCs/>
          <w:sz w:val="32"/>
          <w:szCs w:val="28"/>
          <w:lang w:val="en-US" w:eastAsia="zh-CN"/>
        </w:rPr>
        <w:t>一是</w:t>
      </w:r>
      <w:r>
        <w:rPr>
          <w:rFonts w:hint="eastAsia" w:ascii="Times New Roman" w:hAnsi="Times New Roman" w:eastAsia="方正仿宋简体" w:cs="方正仿宋简体"/>
          <w:sz w:val="32"/>
          <w:szCs w:val="28"/>
          <w:lang w:val="en-US" w:eastAsia="zh-CN"/>
        </w:rPr>
        <w:t>产业链条延伸空间充足。产业将持续从传统制剂生产向康养产品、功能性保健品、特色文创药妆等高附加值领域延伸，优化产品结构、提升产业溢价，推动产业由规模扩张向质量效益提升转型；</w:t>
      </w:r>
      <w:r>
        <w:rPr>
          <w:rFonts w:hint="eastAsia" w:ascii="Times New Roman" w:hAnsi="Times New Roman" w:eastAsia="方正仿宋简体" w:cs="方正仿宋简体"/>
          <w:b/>
          <w:bCs/>
          <w:sz w:val="32"/>
          <w:szCs w:val="28"/>
          <w:lang w:val="en-US" w:eastAsia="zh-CN"/>
        </w:rPr>
        <w:t>二是</w:t>
      </w:r>
      <w:r>
        <w:rPr>
          <w:rFonts w:hint="eastAsia" w:ascii="Times New Roman" w:hAnsi="Times New Roman" w:eastAsia="方正仿宋简体" w:cs="方正仿宋简体"/>
          <w:sz w:val="32"/>
          <w:szCs w:val="28"/>
          <w:lang w:val="en-US" w:eastAsia="zh-CN"/>
        </w:rPr>
        <w:t>康养市场扩容潜力巨大。伴随全民健康、高原康养消费持续升级，原生态、绿色化、特色化藏医药康养产品和服务市场需求持续攀升，适配高端康养、高原调理、亚健康修复等多元场景，市场拓展空间广阔；</w:t>
      </w:r>
      <w:r>
        <w:rPr>
          <w:rFonts w:hint="eastAsia" w:ascii="Times New Roman" w:hAnsi="Times New Roman" w:eastAsia="方正仿宋简体" w:cs="方正仿宋简体"/>
          <w:b/>
          <w:bCs/>
          <w:sz w:val="32"/>
          <w:szCs w:val="28"/>
          <w:lang w:val="en-US" w:eastAsia="zh-CN"/>
        </w:rPr>
        <w:t>三是</w:t>
      </w:r>
      <w:r>
        <w:rPr>
          <w:rFonts w:hint="eastAsia" w:ascii="Times New Roman" w:hAnsi="Times New Roman" w:eastAsia="方正仿宋简体" w:cs="方正仿宋简体"/>
          <w:sz w:val="32"/>
          <w:szCs w:val="28"/>
          <w:lang w:val="en-US" w:eastAsia="zh-CN"/>
        </w:rPr>
        <w:t>三产融合业态持续丰富。深度推进“藏医药+文旅+康养+研学”融合发展，培育藏医药文化体验、药材观光研学、康养旅居、非遗展示等新兴业态，丰富产业发展场景，拓宽产业增值渠道；</w:t>
      </w:r>
      <w:r>
        <w:rPr>
          <w:rFonts w:hint="eastAsia" w:ascii="Times New Roman" w:hAnsi="Times New Roman" w:eastAsia="方正仿宋简体" w:cs="方正仿宋简体"/>
          <w:b/>
          <w:bCs/>
          <w:sz w:val="32"/>
          <w:szCs w:val="28"/>
          <w:lang w:val="en-US" w:eastAsia="zh-CN"/>
        </w:rPr>
        <w:t>四是</w:t>
      </w:r>
      <w:r>
        <w:rPr>
          <w:rFonts w:hint="eastAsia" w:ascii="Times New Roman" w:hAnsi="Times New Roman" w:eastAsia="方正仿宋简体" w:cs="方正仿宋简体"/>
          <w:sz w:val="32"/>
          <w:szCs w:val="28"/>
          <w:lang w:val="en-US" w:eastAsia="zh-CN"/>
        </w:rPr>
        <w:t>数字化标准化提质增效。持续推进藏医药典籍数字化、炮制工艺标准化、生产管控智能化、诊疗服务规范化，依托科技赋能持续降低生产成本、提升产品品质、规范产业体系，夯实长期发展动能；</w:t>
      </w:r>
      <w:r>
        <w:rPr>
          <w:rFonts w:hint="eastAsia" w:ascii="Times New Roman" w:hAnsi="Times New Roman" w:eastAsia="方正仿宋简体" w:cs="方正仿宋简体"/>
          <w:b/>
          <w:bCs/>
          <w:sz w:val="32"/>
          <w:szCs w:val="28"/>
          <w:lang w:val="en-US" w:eastAsia="zh-CN"/>
        </w:rPr>
        <w:t>五是</w:t>
      </w:r>
      <w:r>
        <w:rPr>
          <w:rFonts w:hint="eastAsia" w:ascii="Times New Roman" w:hAnsi="Times New Roman" w:eastAsia="方正仿宋简体" w:cs="方正仿宋简体"/>
          <w:sz w:val="32"/>
          <w:szCs w:val="28"/>
          <w:lang w:val="en-US" w:eastAsia="zh-CN"/>
        </w:rPr>
        <w:t>政策红利持续释放。依托国家民族医药振兴、健康中国、高原生态保护、乡村振兴等多重战略叠加，持续享受项目、资金、人才、医保等全方位政策加持，产业长效高质量发展保障坚实有力。</w:t>
      </w:r>
    </w:p>
    <w:p w14:paraId="76D0640A">
      <w:pPr>
        <w:spacing w:line="576" w:lineRule="exact"/>
        <w:ind w:firstLine="640" w:firstLineChars="200"/>
        <w:jc w:val="both"/>
        <w:rPr>
          <w:rFonts w:ascii="Times New Roman" w:hAnsi="Times New Roman" w:eastAsia="方正仿宋简体" w:cs="方正仿宋简体"/>
          <w:sz w:val="32"/>
          <w:szCs w:val="32"/>
          <w:lang w:val="en-US" w:eastAsia="zh-CN"/>
        </w:rPr>
      </w:pPr>
      <w:r>
        <w:rPr>
          <w:rFonts w:hint="eastAsia" w:ascii="Times New Roman" w:hAnsi="Times New Roman" w:eastAsia="方正仿宋简体" w:cs="方正仿宋简体"/>
          <w:sz w:val="32"/>
          <w:szCs w:val="28"/>
          <w:lang w:val="en-US" w:eastAsia="zh-CN"/>
        </w:rPr>
        <w:t>总体来看，藏医药产业依托独有高原药材资源、深厚传统医技底蕴、完善政策保障体系和广泛民生基础，是那曲市兼具公共服务属性、文化传承属性、富民增收属性的基础性特色产业。未来，全市将持续坚持传承创新并举、规范提质并行、融合赋能并进，不断完善藏医药全产业链体系，全力推动生态资源、文化资源、医技资源优势向民生优势、产业优势、经济优势高效转化，持续巩固藏医药基础性支撑地位。</w:t>
      </w:r>
    </w:p>
    <w:bookmarkEnd w:id="204"/>
    <w:p w14:paraId="339AC1A1">
      <w:pPr>
        <w:pStyle w:val="8"/>
        <w:overflowPunct w:val="0"/>
        <w:topLinePunct/>
        <w:autoSpaceDE/>
        <w:autoSpaceDN/>
        <w:spacing w:before="0" w:line="576" w:lineRule="exact"/>
        <w:ind w:left="0" w:firstLine="640" w:firstLineChars="200"/>
        <w:jc w:val="both"/>
        <w:outlineLvl w:val="0"/>
        <w:rPr>
          <w:rFonts w:ascii="Times New Roman" w:hAnsi="Times New Roman" w:eastAsia="方正黑体简体" w:cs="方正仿宋简体"/>
          <w:sz w:val="32"/>
          <w:szCs w:val="32"/>
          <w:lang w:val="en-US" w:eastAsia="zh-CN"/>
        </w:rPr>
      </w:pPr>
      <w:bookmarkStart w:id="248" w:name="_Toc218422264"/>
      <w:bookmarkStart w:id="249" w:name="_Toc212558115"/>
      <w:bookmarkStart w:id="250" w:name="_Toc243241477"/>
      <w:r>
        <w:rPr>
          <w:rFonts w:hint="eastAsia" w:ascii="Times New Roman" w:hAnsi="Times New Roman" w:eastAsia="方正黑体简体" w:cs="方正仿宋简体"/>
          <w:sz w:val="32"/>
          <w:szCs w:val="32"/>
          <w:lang w:val="en-US" w:eastAsia="zh-CN"/>
        </w:rPr>
        <w:t>二、支柱产业</w:t>
      </w:r>
      <w:bookmarkEnd w:id="248"/>
      <w:bookmarkEnd w:id="249"/>
      <w:bookmarkEnd w:id="250"/>
    </w:p>
    <w:p w14:paraId="530309D7">
      <w:pPr>
        <w:spacing w:line="576" w:lineRule="exact"/>
        <w:ind w:firstLine="640" w:firstLineChars="200"/>
        <w:jc w:val="both"/>
        <w:rPr>
          <w:rFonts w:ascii="Times New Roman" w:hAnsi="Times New Roman" w:eastAsia="方正仿宋简体" w:cs="Times New Roman"/>
          <w:bCs/>
          <w:sz w:val="32"/>
          <w:szCs w:val="28"/>
          <w:lang w:val="en-US"/>
        </w:rPr>
      </w:pPr>
      <w:bookmarkStart w:id="251" w:name="_Toc218422265"/>
      <w:bookmarkStart w:id="252" w:name="_Toc212558116"/>
      <w:r>
        <w:rPr>
          <w:rFonts w:ascii="Times New Roman" w:hAnsi="Times New Roman" w:eastAsia="方正仿宋简体" w:cs="Times New Roman"/>
          <w:bCs/>
          <w:sz w:val="32"/>
          <w:szCs w:val="28"/>
          <w:lang w:val="en-US"/>
        </w:rPr>
        <w:t>支柱产业是支撑区域经济稳增长、优化产业结构、带动就业增收、</w:t>
      </w:r>
      <w:r>
        <w:rPr>
          <w:rFonts w:ascii="Times New Roman" w:hAnsi="Times New Roman" w:eastAsia="方正仿宋简体" w:cs="Times New Roman"/>
          <w:bCs/>
          <w:sz w:val="32"/>
          <w:szCs w:val="28"/>
          <w:lang w:val="en-US" w:eastAsia="zh-CN"/>
        </w:rPr>
        <w:t>激活发展动能的核心关键</w:t>
      </w:r>
      <w:r>
        <w:rPr>
          <w:rFonts w:ascii="Times New Roman" w:hAnsi="Times New Roman" w:eastAsia="方正仿宋简体" w:cs="Times New Roman"/>
          <w:bCs/>
          <w:sz w:val="32"/>
          <w:szCs w:val="28"/>
          <w:lang w:val="en-US"/>
        </w:rPr>
        <w:t>，主要具备产业体量大、经济贡献高、就业带动力强、成长潜力足、支撑作用突出等典型特征，是衡量</w:t>
      </w:r>
      <w:r>
        <w:rPr>
          <w:rFonts w:hint="eastAsia" w:ascii="Times New Roman" w:hAnsi="Times New Roman" w:eastAsia="方正仿宋简体" w:cs="Times New Roman"/>
          <w:bCs/>
          <w:sz w:val="32"/>
          <w:szCs w:val="28"/>
          <w:lang w:val="en-US"/>
        </w:rPr>
        <w:t>那曲</w:t>
      </w:r>
      <w:r>
        <w:rPr>
          <w:rFonts w:ascii="Times New Roman" w:hAnsi="Times New Roman" w:eastAsia="方正仿宋简体" w:cs="Times New Roman"/>
          <w:bCs/>
          <w:sz w:val="32"/>
          <w:szCs w:val="28"/>
          <w:lang w:val="en-US"/>
        </w:rPr>
        <w:t>产业综合竞争力、夯实区域经济发展底盘的重要支撑。</w:t>
      </w:r>
      <w:r>
        <w:rPr>
          <w:rFonts w:ascii="Times New Roman" w:hAnsi="Times New Roman" w:eastAsia="方正仿宋简体" w:cs="Times New Roman"/>
          <w:bCs/>
          <w:sz w:val="32"/>
          <w:szCs w:val="28"/>
          <w:lang w:val="en-US" w:eastAsia="zh-CN"/>
        </w:rPr>
        <w:t>产业层级分类立足产业发展基础</w:t>
      </w:r>
      <w:r>
        <w:rPr>
          <w:rFonts w:ascii="Times New Roman" w:hAnsi="Times New Roman" w:eastAsia="方正仿宋简体" w:cs="Times New Roman"/>
          <w:bCs/>
          <w:sz w:val="32"/>
          <w:szCs w:val="28"/>
          <w:lang w:val="en-US"/>
        </w:rPr>
        <w:t>、运行现状、产值效益、资源禀赋、政策导向等核心维度综合研判，鉴于那曲市各类特色产业业态交叉融合、互补联动的发展实际，基础产业、潜力产业、新兴战略产业边界相互贯通、业态互有叠加，不宜简单割裂、单独界定或强行归类。</w:t>
      </w:r>
    </w:p>
    <w:p w14:paraId="369D5A78">
      <w:pPr>
        <w:spacing w:line="576" w:lineRule="exact"/>
        <w:ind w:firstLine="640" w:firstLineChars="200"/>
        <w:jc w:val="both"/>
        <w:rPr>
          <w:rFonts w:ascii="Times New Roman" w:hAnsi="Times New Roman" w:eastAsia="方正仿宋简体" w:cs="Times New Roman"/>
          <w:bCs/>
          <w:sz w:val="32"/>
          <w:szCs w:val="28"/>
          <w:lang w:val="en-US"/>
        </w:rPr>
      </w:pPr>
      <w:r>
        <w:rPr>
          <w:rFonts w:ascii="Times New Roman" w:hAnsi="Times New Roman" w:eastAsia="方正仿宋简体" w:cs="Times New Roman"/>
          <w:bCs/>
          <w:sz w:val="32"/>
          <w:szCs w:val="28"/>
          <w:lang w:val="en-US"/>
        </w:rPr>
        <w:t>结合全市资源禀赋、产业布局与经济发展重点，综合考量产业基础条件、</w:t>
      </w:r>
      <w:r>
        <w:rPr>
          <w:rFonts w:ascii="Times New Roman" w:hAnsi="Times New Roman" w:eastAsia="方正仿宋简体" w:cs="Times New Roman"/>
          <w:bCs/>
          <w:sz w:val="32"/>
          <w:szCs w:val="28"/>
          <w:lang w:val="en-US" w:eastAsia="zh-CN"/>
        </w:rPr>
        <w:t>产值经济贡献</w:t>
      </w:r>
      <w:r>
        <w:rPr>
          <w:rFonts w:ascii="Times New Roman" w:hAnsi="Times New Roman" w:eastAsia="方正仿宋简体" w:cs="Times New Roman"/>
          <w:bCs/>
          <w:sz w:val="32"/>
          <w:szCs w:val="28"/>
          <w:lang w:val="en-US"/>
        </w:rPr>
        <w:t>、就业承载能力、政策扶持力度和未来成长空间，</w:t>
      </w:r>
      <w:r>
        <w:rPr>
          <w:rFonts w:ascii="Times New Roman" w:hAnsi="Times New Roman" w:eastAsia="方正仿宋简体" w:cs="Times New Roman"/>
          <w:bCs/>
          <w:sz w:val="32"/>
          <w:szCs w:val="28"/>
          <w:lang w:val="en-US" w:eastAsia="zh-CN"/>
        </w:rPr>
        <w:t>那曲市将高原特色畜牧业</w:t>
      </w:r>
      <w:r>
        <w:rPr>
          <w:rFonts w:ascii="Times New Roman" w:hAnsi="Times New Roman" w:eastAsia="方正仿宋简体" w:cs="Times New Roman"/>
          <w:bCs/>
          <w:sz w:val="32"/>
          <w:szCs w:val="28"/>
          <w:lang w:val="en-US"/>
        </w:rPr>
        <w:t>、清洁能源产业、特色文旅产业确定为市域核心支柱产业，将天然饮用水产业列为潜在支柱产业，其余特色业态统一纳入配套支撑产业体系，构建形成“核心支柱引领、潜在支柱扩容、特色配套赋能”的层级化、差异化、联动式特色产业发展格局。</w:t>
      </w:r>
    </w:p>
    <w:p w14:paraId="4DA46D82">
      <w:pPr>
        <w:pStyle w:val="8"/>
        <w:overflowPunct w:val="0"/>
        <w:topLinePunct/>
        <w:autoSpaceDE/>
        <w:autoSpaceDN/>
        <w:spacing w:before="0" w:line="576" w:lineRule="exact"/>
        <w:ind w:left="0" w:firstLine="640" w:firstLineChars="200"/>
        <w:jc w:val="both"/>
        <w:outlineLvl w:val="1"/>
        <w:rPr>
          <w:rFonts w:ascii="Times New Roman" w:hAnsi="Times New Roman" w:eastAsia="方正楷体简体" w:cs="方正仿宋简体"/>
          <w:sz w:val="32"/>
          <w:szCs w:val="32"/>
          <w:lang w:eastAsia="zh-CN"/>
        </w:rPr>
      </w:pPr>
      <w:bookmarkStart w:id="253" w:name="_Toc243241478"/>
      <w:r>
        <w:rPr>
          <w:rFonts w:hint="eastAsia" w:ascii="Times New Roman" w:hAnsi="Times New Roman" w:eastAsia="方正楷体简体" w:cs="方正仿宋简体"/>
          <w:sz w:val="32"/>
          <w:szCs w:val="32"/>
        </w:rPr>
        <w:t>（一）</w:t>
      </w:r>
      <w:bookmarkEnd w:id="251"/>
      <w:r>
        <w:rPr>
          <w:rFonts w:hint="eastAsia" w:ascii="Times New Roman" w:hAnsi="Times New Roman" w:eastAsia="方正楷体简体" w:cs="方正仿宋简体"/>
          <w:sz w:val="32"/>
          <w:szCs w:val="32"/>
          <w:lang w:eastAsia="zh-CN"/>
        </w:rPr>
        <w:t>高原特色畜牧业</w:t>
      </w:r>
      <w:bookmarkEnd w:id="253"/>
    </w:p>
    <w:p w14:paraId="3809EBBE">
      <w:pPr>
        <w:spacing w:line="576" w:lineRule="exact"/>
        <w:ind w:firstLine="640" w:firstLineChars="200"/>
        <w:jc w:val="both"/>
        <w:rPr>
          <w:rFonts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那曲市高原特色畜牧业产业底盘坚实、经济贡献突出、惠民覆盖面广、政策支撑有力、发展潜力深厚，是支撑全市经济高质量发展、巩固拓展脱贫攻坚成果、推进乡村全面振兴的核心支柱产业。</w:t>
      </w:r>
    </w:p>
    <w:p w14:paraId="6FA5B7DB">
      <w:pPr>
        <w:spacing w:line="576" w:lineRule="exact"/>
        <w:ind w:firstLine="640" w:firstLineChars="200"/>
        <w:jc w:val="both"/>
        <w:outlineLvl w:val="2"/>
        <w:rPr>
          <w:rFonts w:ascii="Times New Roman" w:hAnsi="Times New Roman" w:eastAsia="方正仿宋简体" w:cs="方正仿宋简体"/>
          <w:bCs/>
          <w:sz w:val="32"/>
          <w:szCs w:val="28"/>
          <w:lang w:val="en-US" w:eastAsia="zh-CN"/>
        </w:rPr>
      </w:pPr>
      <w:bookmarkStart w:id="254" w:name="_Toc243241479"/>
      <w:r>
        <w:rPr>
          <w:rFonts w:hint="eastAsia" w:ascii="Times New Roman" w:hAnsi="Times New Roman" w:eastAsia="方正仿宋简体" w:cs="方正仿宋简体"/>
          <w:bCs/>
          <w:sz w:val="32"/>
          <w:szCs w:val="28"/>
          <w:lang w:eastAsia="zh-CN"/>
        </w:rPr>
        <w:t>1．产业基础条件扎实雄厚，产业发展底盘稳固</w:t>
      </w:r>
      <w:bookmarkEnd w:id="254"/>
    </w:p>
    <w:p w14:paraId="438B329C">
      <w:pPr>
        <w:spacing w:line="576" w:lineRule="exact"/>
        <w:ind w:firstLine="640" w:firstLineChars="200"/>
        <w:jc w:val="both"/>
        <w:rPr>
          <w:rFonts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那曲市依托得天独厚的高寒草场与特色畜种资源，经过长期规范化培育，畜牧业产业化、规模化、组织化水平持续提升，产业发展基础坚实稳固。养殖体量保持高位稳定，2024年全市牲畜存栏523.35万头（只），其中牛存栏228.12万头、占全区30.58%，牛出栏52.19万头、占全区30.54%，牦牛存栏、出栏规模均位居全区前列，核心种质资源优势显著。2025年牲畜存栏进一步稳定至</w:t>
      </w:r>
      <w:r>
        <w:rPr>
          <w:rFonts w:ascii="Times New Roman" w:hAnsi="Times New Roman" w:eastAsia="方正仿宋简体" w:cs="方正仿宋简体"/>
          <w:bCs/>
          <w:sz w:val="32"/>
          <w:szCs w:val="28"/>
          <w:lang w:val="en-US" w:eastAsia="zh-CN"/>
        </w:rPr>
        <w:t>552.91</w:t>
      </w:r>
      <w:r>
        <w:rPr>
          <w:rFonts w:hint="eastAsia" w:ascii="Times New Roman" w:hAnsi="Times New Roman" w:eastAsia="方正仿宋简体" w:cs="方正仿宋简体"/>
          <w:bCs/>
          <w:sz w:val="32"/>
          <w:szCs w:val="28"/>
          <w:lang w:val="en-US" w:eastAsia="zh-CN"/>
        </w:rPr>
        <w:t>万头（只），畜群结构持续优化，全年牲畜出栏16.74万头（只、匹）、同比增长8%，肉、奶总产量双双突破10万吨，产业基本盘持续夯实。同时，产业经营体系日趋完善，全市建成1个国家级现代农业产业园，培育自治区级龙头企业3家、市级龙头企业19家，发展农牧民专业合作社1616家、标准化家庭牧场3734户、养殖大户4564户，形成多级联动、抱团发展的成熟产业组织体系，为产业持续提质扩容筑牢坚实硬件与主体基础。</w:t>
      </w:r>
    </w:p>
    <w:p w14:paraId="4E2173CC">
      <w:pPr>
        <w:spacing w:line="576" w:lineRule="exact"/>
        <w:ind w:firstLine="640" w:firstLineChars="200"/>
        <w:jc w:val="both"/>
        <w:outlineLvl w:val="2"/>
        <w:rPr>
          <w:rFonts w:ascii="Times New Roman" w:hAnsi="Times New Roman" w:eastAsia="方正仿宋简体" w:cs="方正仿宋简体"/>
          <w:bCs/>
          <w:sz w:val="32"/>
          <w:szCs w:val="28"/>
          <w:lang w:eastAsia="zh-CN"/>
        </w:rPr>
      </w:pPr>
      <w:bookmarkStart w:id="255" w:name="_Toc243241480"/>
      <w:r>
        <w:rPr>
          <w:rFonts w:hint="eastAsia" w:ascii="Times New Roman" w:hAnsi="Times New Roman" w:eastAsia="方正仿宋简体" w:cs="方正仿宋简体"/>
          <w:bCs/>
          <w:sz w:val="32"/>
          <w:szCs w:val="28"/>
          <w:lang w:eastAsia="zh-CN"/>
        </w:rPr>
        <w:t>2．产值经济贡献持续攀升，市域支撑作用凸显</w:t>
      </w:r>
      <w:bookmarkEnd w:id="255"/>
    </w:p>
    <w:p w14:paraId="74642CE0">
      <w:pPr>
        <w:spacing w:line="576" w:lineRule="exact"/>
        <w:ind w:firstLine="640" w:firstLineChars="200"/>
        <w:jc w:val="both"/>
        <w:rPr>
          <w:rFonts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高原特色畜牧业作为那曲实体经济的核心板块，产量规模、加工产值连年稳步增长，对县域经济增长、产业结构优化的支撑效能持续释放。2024年，全市肉总产量达10.06万吨、奶总产量8.35万吨，实现农畜产品加工产值1.91亿元、同比增长12.4%，产业发展质效稳步提升。2025年产业发展稳中提速、增量提质成效显著，肉、奶总产量双双突破10万吨，农畜产品加工产值增至2.53亿元、同比增长26%，产业增速持续领跑那曲特色产业。其中商品肉产量1.31万吨、商品生牛奶产量6.67万吨，牲畜出栏16.74万头（只、匹）、同比增长8%，畜牧产业商品化、市场化、产业化程度大幅提升，有效激活产业增值空间，持续夯实那曲经济增长核心支撑。</w:t>
      </w:r>
    </w:p>
    <w:p w14:paraId="421A906D">
      <w:pPr>
        <w:spacing w:line="576" w:lineRule="exact"/>
        <w:ind w:firstLine="640" w:firstLineChars="200"/>
        <w:jc w:val="both"/>
        <w:outlineLvl w:val="2"/>
        <w:rPr>
          <w:rFonts w:ascii="Times New Roman" w:hAnsi="Times New Roman" w:eastAsia="方正仿宋简体" w:cs="方正仿宋简体"/>
          <w:bCs/>
          <w:sz w:val="32"/>
          <w:szCs w:val="28"/>
          <w:lang w:eastAsia="zh-CN"/>
        </w:rPr>
      </w:pPr>
      <w:bookmarkStart w:id="256" w:name="_Toc243241481"/>
      <w:r>
        <w:rPr>
          <w:rFonts w:hint="eastAsia" w:ascii="Times New Roman" w:hAnsi="Times New Roman" w:eastAsia="方正仿宋简体" w:cs="方正仿宋简体"/>
          <w:bCs/>
          <w:sz w:val="32"/>
          <w:szCs w:val="28"/>
          <w:lang w:eastAsia="zh-CN"/>
        </w:rPr>
        <w:t>3．就业承载覆盖面广，富民惠民效能突出</w:t>
      </w:r>
      <w:bookmarkEnd w:id="256"/>
    </w:p>
    <w:p w14:paraId="1023739A">
      <w:pPr>
        <w:spacing w:line="576" w:lineRule="exact"/>
        <w:ind w:firstLine="640" w:firstLineChars="200"/>
        <w:jc w:val="both"/>
        <w:rPr>
          <w:rFonts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畜牧业是那曲市覆盖面最广、参与主体最多、增收稳定性最强的基础性富民产业，具备极强的就业吸纳与民生保障能力。产业覆盖全市绝大部分农牧民群体，依托规模化养殖、初级加工、产品流通、品牌销售等全链条业态，持续创造就地就近就业岗位。通过“</w:t>
      </w:r>
      <w:bookmarkStart w:id="257" w:name="OLE_LINK131"/>
      <w:r>
        <w:rPr>
          <w:rFonts w:hint="eastAsia" w:ascii="Times New Roman" w:hAnsi="Times New Roman" w:eastAsia="方正仿宋简体" w:cs="方正仿宋简体"/>
          <w:bCs/>
          <w:sz w:val="32"/>
          <w:szCs w:val="28"/>
          <w:lang w:val="en-US" w:eastAsia="zh-CN"/>
        </w:rPr>
        <w:t>龙头企业+合作社+家庭牧场+牧户</w:t>
      </w:r>
      <w:bookmarkEnd w:id="257"/>
      <w:r>
        <w:rPr>
          <w:rFonts w:hint="eastAsia" w:ascii="Times New Roman" w:hAnsi="Times New Roman" w:eastAsia="方正仿宋简体" w:cs="方正仿宋简体"/>
          <w:bCs/>
          <w:sz w:val="32"/>
          <w:szCs w:val="28"/>
          <w:lang w:val="en-US" w:eastAsia="zh-CN"/>
        </w:rPr>
        <w:t>”成熟利益联结模式，带动广大农牧民以草场、牲畜、劳动力等生产要素入股参与产业发展，实现经营性收入、分红收入双向增收，在稳住农牧民就业、持续拓宽增收渠道、筑牢基层民生保障底线、巩固乡村振兴发展根基中发挥不可替代的支柱作用。</w:t>
      </w:r>
    </w:p>
    <w:p w14:paraId="3B1691CB">
      <w:pPr>
        <w:spacing w:line="576" w:lineRule="exact"/>
        <w:ind w:firstLine="640" w:firstLineChars="200"/>
        <w:jc w:val="both"/>
        <w:outlineLvl w:val="2"/>
        <w:rPr>
          <w:rFonts w:ascii="Times New Roman" w:hAnsi="Times New Roman" w:eastAsia="方正仿宋简体" w:cs="方正仿宋简体"/>
          <w:bCs/>
          <w:sz w:val="32"/>
          <w:szCs w:val="28"/>
          <w:lang w:eastAsia="zh-CN"/>
        </w:rPr>
      </w:pPr>
      <w:bookmarkStart w:id="258" w:name="_Toc243241482"/>
      <w:r>
        <w:rPr>
          <w:rFonts w:hint="eastAsia" w:ascii="Times New Roman" w:hAnsi="Times New Roman" w:eastAsia="方正仿宋简体" w:cs="方正仿宋简体"/>
          <w:bCs/>
          <w:sz w:val="32"/>
          <w:szCs w:val="28"/>
          <w:lang w:eastAsia="zh-CN"/>
        </w:rPr>
        <w:t>4．政策扶持体系完备，产业发展保障有力</w:t>
      </w:r>
      <w:bookmarkEnd w:id="258"/>
    </w:p>
    <w:p w14:paraId="6BE3F116">
      <w:pPr>
        <w:spacing w:line="576" w:lineRule="exact"/>
        <w:ind w:firstLine="640" w:firstLineChars="200"/>
        <w:jc w:val="both"/>
        <w:rPr>
          <w:rFonts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高原特色畜牧业始终位列全市重点扶持的核心特色产业，深度融入国家高原生态安全屏障建设、乡村振兴战略、西藏农牧业现代化发展等重大战略布局。市县（区）两级持续落地良种繁育推广、畜群结构优化、草畜平衡补偿、饲草种植补贴、家庭牧场奖补、经营主体培育、品牌建设推广等全链条扶持政策，构建形成顶层规划引领、财政资金托底、专项政策赋能、科技人才支撑的全方位、立体化政策保障体系，为产业规范化、绿色化、品牌化、现代化发展保驾护航。</w:t>
      </w:r>
    </w:p>
    <w:p w14:paraId="22A4B8C1">
      <w:pPr>
        <w:spacing w:line="576" w:lineRule="exact"/>
        <w:ind w:firstLine="640" w:firstLineChars="200"/>
        <w:jc w:val="both"/>
        <w:outlineLvl w:val="2"/>
        <w:rPr>
          <w:rFonts w:ascii="Times New Roman" w:hAnsi="Times New Roman" w:eastAsia="方正仿宋简体" w:cs="方正仿宋简体"/>
          <w:bCs/>
          <w:sz w:val="32"/>
          <w:szCs w:val="28"/>
          <w:lang w:eastAsia="zh-CN"/>
        </w:rPr>
      </w:pPr>
      <w:bookmarkStart w:id="259" w:name="_Toc243241483"/>
      <w:r>
        <w:rPr>
          <w:rFonts w:hint="eastAsia" w:ascii="Times New Roman" w:hAnsi="Times New Roman" w:eastAsia="方正仿宋简体" w:cs="方正仿宋简体"/>
          <w:bCs/>
          <w:sz w:val="32"/>
          <w:szCs w:val="28"/>
          <w:lang w:eastAsia="zh-CN"/>
        </w:rPr>
        <w:t>5．未来成长空间广阔，长期发展动能充沛</w:t>
      </w:r>
      <w:bookmarkEnd w:id="259"/>
    </w:p>
    <w:p w14:paraId="24507CFC">
      <w:pPr>
        <w:spacing w:line="576" w:lineRule="exact"/>
        <w:ind w:firstLine="640" w:firstLineChars="200"/>
        <w:jc w:val="both"/>
        <w:rPr>
          <w:rFonts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全市锚定“</w:t>
      </w:r>
      <w:bookmarkStart w:id="260" w:name="OLE_LINK139"/>
      <w:r>
        <w:rPr>
          <w:rFonts w:hint="eastAsia" w:ascii="Times New Roman" w:hAnsi="Times New Roman" w:eastAsia="方正仿宋简体" w:cs="方正仿宋简体"/>
          <w:bCs/>
          <w:sz w:val="32"/>
          <w:szCs w:val="28"/>
          <w:lang w:val="en-US" w:eastAsia="zh-CN"/>
        </w:rPr>
        <w:t>中国原生态牦牛之乡</w:t>
      </w:r>
      <w:bookmarkEnd w:id="260"/>
      <w:r>
        <w:rPr>
          <w:rFonts w:hint="eastAsia" w:ascii="Times New Roman" w:hAnsi="Times New Roman" w:eastAsia="方正仿宋简体" w:cs="方正仿宋简体"/>
          <w:bCs/>
          <w:sz w:val="32"/>
          <w:szCs w:val="28"/>
          <w:lang w:val="en-US" w:eastAsia="zh-CN"/>
        </w:rPr>
        <w:t>”发展目标，全力推进牦牛保纯提质工程，聚力打造国家级牦牛种质资源保护区，持续夯实特色种质资源核心优势。持续优化“四季轮牧、三季休牧”“放牧+补饲”等生态养殖模式，统筹生态保护与产业发展，稳步推动传统畜牧业向标准化、集约化、品牌化、绿色化现代</w:t>
      </w:r>
      <w:bookmarkStart w:id="261" w:name="OLE_LINK26"/>
      <w:r>
        <w:rPr>
          <w:rFonts w:hint="eastAsia" w:ascii="Times New Roman" w:hAnsi="Times New Roman" w:eastAsia="方正仿宋简体" w:cs="方正仿宋简体"/>
          <w:bCs/>
          <w:sz w:val="32"/>
          <w:szCs w:val="28"/>
          <w:lang w:val="en-US" w:eastAsia="zh-CN"/>
        </w:rPr>
        <w:t>高原特色畜牧业</w:t>
      </w:r>
      <w:bookmarkEnd w:id="261"/>
      <w:r>
        <w:rPr>
          <w:rFonts w:hint="eastAsia" w:ascii="Times New Roman" w:hAnsi="Times New Roman" w:eastAsia="方正仿宋简体" w:cs="方正仿宋简体"/>
          <w:bCs/>
          <w:sz w:val="32"/>
          <w:szCs w:val="28"/>
          <w:lang w:val="en-US" w:eastAsia="zh-CN"/>
        </w:rPr>
        <w:t>转型。未来随着良种繁育体系持续完善、精深加工链条不断延伸、品牌溢价效能持续释放、智慧养殖与冷链物流体系迭代升级，产业资源优势将持续高效转化为经济优势、竞争优势，长期发展潜力与成长空间十分广阔。</w:t>
      </w:r>
    </w:p>
    <w:p w14:paraId="3ED7A437">
      <w:pPr>
        <w:spacing w:line="576" w:lineRule="exact"/>
        <w:ind w:firstLine="640" w:firstLineChars="200"/>
        <w:jc w:val="both"/>
        <w:rPr>
          <w:rFonts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总体而言，那曲市高原特色畜牧业资源禀赋独特、产业体量庞大、经济贡献突出、富民作用显著、政策赋能全面、发展潜力巨大，产业支柱地位坚实稳固，是引领全市特色产业高质量发展、赋能生态保护与民生改善的核心主导产业。</w:t>
      </w:r>
    </w:p>
    <w:p w14:paraId="71C3B58F">
      <w:pPr>
        <w:pStyle w:val="8"/>
        <w:overflowPunct w:val="0"/>
        <w:topLinePunct/>
        <w:autoSpaceDE/>
        <w:autoSpaceDN/>
        <w:spacing w:before="0" w:line="576" w:lineRule="exact"/>
        <w:ind w:left="0" w:firstLine="640" w:firstLineChars="200"/>
        <w:jc w:val="both"/>
        <w:outlineLvl w:val="1"/>
        <w:rPr>
          <w:rFonts w:ascii="Times New Roman" w:hAnsi="Times New Roman" w:eastAsia="方正楷体简体" w:cs="方正仿宋简体"/>
          <w:sz w:val="32"/>
          <w:szCs w:val="32"/>
        </w:rPr>
      </w:pPr>
      <w:bookmarkStart w:id="262" w:name="_Toc243241484"/>
      <w:bookmarkStart w:id="263" w:name="_Toc218422266"/>
      <w:bookmarkStart w:id="264" w:name="OLE_LINK20"/>
      <w:r>
        <w:rPr>
          <w:rFonts w:hint="eastAsia" w:ascii="Times New Roman" w:hAnsi="Times New Roman" w:eastAsia="方正楷体简体" w:cs="方正仿宋简体"/>
          <w:sz w:val="32"/>
          <w:szCs w:val="32"/>
        </w:rPr>
        <w:t>（二）</w:t>
      </w:r>
      <w:bookmarkStart w:id="265" w:name="OLE_LINK7"/>
      <w:r>
        <w:rPr>
          <w:rFonts w:hint="eastAsia" w:ascii="Times New Roman" w:hAnsi="Times New Roman" w:eastAsia="方正楷体简体" w:cs="方正仿宋简体"/>
          <w:sz w:val="32"/>
          <w:szCs w:val="32"/>
        </w:rPr>
        <w:t>清洁能源产业</w:t>
      </w:r>
      <w:bookmarkEnd w:id="262"/>
      <w:bookmarkEnd w:id="263"/>
      <w:bookmarkEnd w:id="265"/>
    </w:p>
    <w:p w14:paraId="7C191825">
      <w:pPr>
        <w:spacing w:line="576" w:lineRule="exact"/>
        <w:ind w:firstLine="640" w:firstLineChars="200"/>
        <w:jc w:val="both"/>
        <w:rPr>
          <w:rFonts w:hint="eastAsia" w:ascii="Times New Roman" w:hAnsi="Times New Roman" w:eastAsia="方正仿宋简体" w:cs="方正仿宋简体"/>
          <w:bCs/>
          <w:sz w:val="32"/>
          <w:szCs w:val="32"/>
          <w:lang w:val="en-US" w:eastAsia="zh-CN"/>
        </w:rPr>
      </w:pPr>
      <w:r>
        <w:rPr>
          <w:rFonts w:hint="eastAsia" w:ascii="Times New Roman" w:hAnsi="Times New Roman" w:eastAsia="方正仿宋简体" w:cs="方正仿宋简体"/>
          <w:bCs/>
          <w:sz w:val="32"/>
          <w:szCs w:val="32"/>
          <w:lang w:val="en-US" w:eastAsia="zh-CN"/>
        </w:rPr>
        <w:t>那曲市清洁能源产业资源禀赋独特、发展增速迅猛、经济拉动有力、政策体系完善、成长空间广阔，是全市优化产业结构、培育绿色低碳经济、撬动新型工业化发展、赋能</w:t>
      </w:r>
      <w:bookmarkStart w:id="266" w:name="OLE_LINK170"/>
      <w:r>
        <w:rPr>
          <w:rFonts w:hint="eastAsia" w:ascii="Times New Roman" w:hAnsi="Times New Roman" w:eastAsia="方正仿宋简体" w:cs="方正仿宋简体"/>
          <w:bCs/>
          <w:sz w:val="32"/>
          <w:szCs w:val="32"/>
          <w:lang w:val="en-US" w:eastAsia="zh-CN"/>
        </w:rPr>
        <w:t>那曲</w:t>
      </w:r>
      <w:bookmarkEnd w:id="266"/>
      <w:r>
        <w:rPr>
          <w:rFonts w:hint="eastAsia" w:ascii="Times New Roman" w:hAnsi="Times New Roman" w:eastAsia="方正仿宋简体" w:cs="方正仿宋简体"/>
          <w:bCs/>
          <w:sz w:val="32"/>
          <w:szCs w:val="32"/>
          <w:lang w:val="en-US" w:eastAsia="zh-CN"/>
        </w:rPr>
        <w:t>高质量发展的战略性支柱产业。</w:t>
      </w:r>
      <w:bookmarkStart w:id="267" w:name="OLE_LINK142"/>
      <w:r>
        <w:rPr>
          <w:rFonts w:hint="eastAsia" w:ascii="Times New Roman" w:hAnsi="Times New Roman" w:eastAsia="方正仿宋简体" w:cs="方正仿宋简体"/>
          <w:bCs/>
          <w:sz w:val="32"/>
          <w:szCs w:val="32"/>
          <w:lang w:eastAsia="zh-CN"/>
        </w:rPr>
        <w:t>清洁能源产业对接全市“三区四端五纵六横多点”区域经济布局，与“三线一片一区”专项布局协同推进。中部核心提升区重点布局多能互补、储能及产业服务载体；东部特色发展区挖掘流域水能潜力，依托东接昌都端口拓展向东消纳通道；西部生态保育发展区在严守生态底线前提下开发风光储资源，依托北通青海、西连阿里端口拓展跨区域外送。借助“五纵六横”交通</w:t>
      </w:r>
      <w:r>
        <w:rPr>
          <w:rFonts w:hint="eastAsia" w:ascii="Times New Roman" w:hAnsi="Times New Roman" w:eastAsia="方正仿宋简体" w:cs="方正仿宋简体"/>
          <w:bCs/>
          <w:sz w:val="32"/>
          <w:szCs w:val="32"/>
          <w:lang w:eastAsia="zh-CN"/>
        </w:rPr>
        <w:noBreakHyphen/>
      </w:r>
      <w:r>
        <w:rPr>
          <w:rFonts w:hint="eastAsia" w:ascii="Times New Roman" w:hAnsi="Times New Roman" w:eastAsia="方正仿宋简体" w:cs="方正仿宋简体"/>
          <w:bCs/>
          <w:sz w:val="32"/>
          <w:szCs w:val="32"/>
          <w:lang w:eastAsia="zh-CN"/>
        </w:rPr>
        <w:t>电力复合轴带串联重大能源项目，以各县新能源基地、牧光互补、分布式微电网为多点落地载体，构建分区开发、通道贯通、多点支撑的产业空间体系，服务国家清洁能源贡献地建设目标。</w:t>
      </w:r>
    </w:p>
    <w:bookmarkEnd w:id="267"/>
    <w:p w14:paraId="69C0448A">
      <w:pPr>
        <w:spacing w:line="576" w:lineRule="exact"/>
        <w:ind w:firstLine="640" w:firstLineChars="200"/>
        <w:jc w:val="both"/>
        <w:outlineLvl w:val="2"/>
        <w:rPr>
          <w:rFonts w:hint="eastAsia" w:ascii="Times New Roman" w:hAnsi="Times New Roman" w:eastAsia="方正仿宋简体" w:cs="方正仿宋简体"/>
          <w:bCs/>
          <w:sz w:val="32"/>
          <w:szCs w:val="32"/>
          <w:lang w:val="en-US" w:eastAsia="zh-CN"/>
        </w:rPr>
      </w:pPr>
      <w:bookmarkStart w:id="268" w:name="_Toc243241485"/>
      <w:r>
        <w:rPr>
          <w:rFonts w:hint="eastAsia" w:ascii="Times New Roman" w:hAnsi="Times New Roman" w:eastAsia="方正仿宋简体" w:cs="方正仿宋简体"/>
          <w:bCs/>
          <w:sz w:val="32"/>
          <w:szCs w:val="32"/>
          <w:lang w:val="en-US" w:eastAsia="zh-CN"/>
        </w:rPr>
        <w:t>1．产业基础条件</w:t>
      </w:r>
      <w:r>
        <w:rPr>
          <w:rFonts w:hint="eastAsia" w:ascii="Times New Roman" w:hAnsi="Times New Roman" w:eastAsia="方正仿宋简体" w:cs="方正仿宋简体"/>
          <w:bCs/>
          <w:sz w:val="32"/>
          <w:szCs w:val="32"/>
          <w:lang w:eastAsia="zh-CN"/>
        </w:rPr>
        <w:t>得天独厚</w:t>
      </w:r>
      <w:r>
        <w:rPr>
          <w:rFonts w:hint="eastAsia" w:ascii="Times New Roman" w:hAnsi="Times New Roman" w:eastAsia="方正仿宋简体" w:cs="方正仿宋简体"/>
          <w:bCs/>
          <w:sz w:val="32"/>
          <w:szCs w:val="32"/>
          <w:lang w:val="en-US" w:eastAsia="zh-CN"/>
        </w:rPr>
        <w:t>，全域绿色发展底盘坚实稳固</w:t>
      </w:r>
      <w:bookmarkEnd w:id="268"/>
    </w:p>
    <w:p w14:paraId="10126124">
      <w:pPr>
        <w:spacing w:line="576" w:lineRule="exact"/>
        <w:ind w:firstLine="640" w:firstLineChars="200"/>
        <w:jc w:val="both"/>
        <w:rPr>
          <w:rFonts w:hint="eastAsia" w:ascii="Times New Roman" w:hAnsi="Times New Roman" w:eastAsia="方正仿宋简体" w:cs="方正仿宋简体"/>
          <w:bCs/>
          <w:sz w:val="32"/>
          <w:szCs w:val="32"/>
          <w:lang w:eastAsia="zh-CN"/>
        </w:rPr>
      </w:pPr>
      <w:r>
        <w:rPr>
          <w:rFonts w:hint="eastAsia" w:ascii="Times New Roman" w:hAnsi="Times New Roman" w:eastAsia="方正仿宋简体" w:cs="方正仿宋简体"/>
          <w:bCs/>
          <w:sz w:val="32"/>
          <w:szCs w:val="32"/>
          <w:lang w:val="en-US" w:eastAsia="zh-CN"/>
        </w:rPr>
        <w:t>那曲市风、光、水清洁能源资源富集、组合优势突出，是西藏重要的绿色能源储备基地，产业发展原生禀赋优势极为显著。全市</w:t>
      </w:r>
      <w:r>
        <w:rPr>
          <w:rFonts w:hint="eastAsia" w:ascii="Times New Roman" w:hAnsi="Times New Roman" w:eastAsia="方正仿宋简体" w:cs="方正仿宋简体"/>
          <w:bCs/>
          <w:sz w:val="32"/>
          <w:szCs w:val="32"/>
          <w:lang w:eastAsia="zh-CN"/>
        </w:rPr>
        <w:t>太阳能资源技术可开发量约37.1亿千瓦、占全区38%，风能资源技术可开发量约3724万千瓦、占全区35.7%，水能资源技术可开发量约308万千瓦，抽水蓄能规划规模超1500万千瓦。</w:t>
      </w:r>
      <w:r>
        <w:rPr>
          <w:rFonts w:hint="eastAsia" w:ascii="Times New Roman" w:hAnsi="Times New Roman" w:eastAsia="方正仿宋简体" w:cs="方正仿宋简体"/>
          <w:bCs/>
          <w:sz w:val="32"/>
          <w:szCs w:val="32"/>
          <w:lang w:val="en-US" w:eastAsia="zh-CN"/>
        </w:rPr>
        <w:t>随着能源基础设施持续提档升级，产业发展硬件基底不断夯实，截至2025年底，全市清洁能源建成装机容量137.68万千瓦，在建、拟建装机规模达359万千瓦，能源供给保障体系持续扩容增效。产业运行质效稳步提升，2025年全市清洁能源上网发电量达11.2亿千瓦时、同比增长41.94%，全社会用电量12.1亿千瓦时、同比增长24.04%，绿色能源保供能力、外送输出能力、市场消纳水平实现跨越式提升，清洁能源规模化、集群化发展格局基本成型。</w:t>
      </w:r>
    </w:p>
    <w:p w14:paraId="2C2550FC">
      <w:pPr>
        <w:spacing w:line="576" w:lineRule="exact"/>
        <w:ind w:firstLine="640" w:firstLineChars="200"/>
        <w:jc w:val="both"/>
        <w:rPr>
          <w:rFonts w:hint="eastAsia" w:ascii="Times New Roman" w:hAnsi="Times New Roman" w:eastAsia="方正仿宋简体" w:cs="方正仿宋简体"/>
          <w:bCs/>
          <w:sz w:val="32"/>
          <w:szCs w:val="32"/>
          <w:lang w:val="en-US" w:eastAsia="zh-CN"/>
        </w:rPr>
      </w:pPr>
      <w:r>
        <w:rPr>
          <w:rFonts w:hint="eastAsia" w:ascii="Times New Roman" w:hAnsi="Times New Roman" w:eastAsia="方正仿宋简体" w:cs="方正仿宋简体"/>
          <w:bCs/>
          <w:sz w:val="32"/>
          <w:szCs w:val="32"/>
          <w:lang w:val="en-US" w:eastAsia="zh-CN"/>
        </w:rPr>
        <w:t>立足</w:t>
      </w:r>
      <w:bookmarkStart w:id="269" w:name="OLE_LINK169"/>
      <w:r>
        <w:rPr>
          <w:rFonts w:hint="eastAsia" w:ascii="Times New Roman" w:hAnsi="Times New Roman" w:eastAsia="方正仿宋简体" w:cs="方正仿宋简体"/>
          <w:bCs/>
          <w:sz w:val="32"/>
          <w:szCs w:val="32"/>
          <w:lang w:val="en-US" w:eastAsia="zh-CN"/>
        </w:rPr>
        <w:t>那曲</w:t>
      </w:r>
      <w:bookmarkEnd w:id="269"/>
      <w:r>
        <w:rPr>
          <w:rFonts w:hint="eastAsia" w:ascii="Times New Roman" w:hAnsi="Times New Roman" w:eastAsia="方正仿宋简体" w:cs="方正仿宋简体"/>
          <w:bCs/>
          <w:sz w:val="32"/>
          <w:szCs w:val="32"/>
          <w:lang w:val="en-US" w:eastAsia="zh-CN"/>
        </w:rPr>
        <w:t>资源空间分异和三区功能定位，统筹布局全域能源开发体系，实现三区错位发展、优势互补、整体跃升。色尼区、安多县、聂荣县依托交通枢纽密集、电网架构完善、消纳条件优越的综合优势，集中布局风电、光伏、储能标杆项目，落地欧玛亭嘎风电、甘丹康桑光伏、储能等重点工程，率先形成规模化并网、集约化发展、高效化消纳的核心产能板块，打造全市清洁能源开发示范引领区。比如、索县、巴青、嘉黎四县依托河谷水能充沛、山地风光富集的复合资源优势，重点推进水电与风光多能互补协同开发，加快江达水电站等重点水利能源项目建设，补齐水电开发短板，构建“水光互补、多能协同”的绿色能源供给体系，全力保障东部河谷特色产业带绿色用能需求。班戈、申扎、尼玛、双湖等羌塘核心区域，立足广袤优质风光资源，坚守生态优先、保护为主、有序开发、远期储备原则，科学布局规模化光伏、风电基地，严格衔接生态保护管控要求，推动清洁能源产业与生态畜牧、生态</w:t>
      </w:r>
      <w:bookmarkStart w:id="270" w:name="OLE_LINK144"/>
      <w:r>
        <w:rPr>
          <w:rFonts w:hint="eastAsia" w:ascii="Times New Roman" w:hAnsi="Times New Roman" w:eastAsia="方正仿宋简体" w:cs="方正仿宋简体"/>
          <w:bCs/>
          <w:sz w:val="32"/>
          <w:szCs w:val="32"/>
          <w:lang w:val="en-US" w:eastAsia="zh-CN"/>
        </w:rPr>
        <w:t>文旅</w:t>
      </w:r>
      <w:bookmarkEnd w:id="270"/>
      <w:r>
        <w:rPr>
          <w:rFonts w:hint="eastAsia" w:ascii="Times New Roman" w:hAnsi="Times New Roman" w:eastAsia="方正仿宋简体" w:cs="方正仿宋简体"/>
          <w:bCs/>
          <w:sz w:val="32"/>
          <w:szCs w:val="32"/>
          <w:lang w:val="en-US" w:eastAsia="zh-CN"/>
        </w:rPr>
        <w:t>、特色资源绿色开发深度融合，打造高原生态友好型绿色能源储备发展示范区。</w:t>
      </w:r>
    </w:p>
    <w:p w14:paraId="2EA0A226">
      <w:pPr>
        <w:spacing w:line="576" w:lineRule="exact"/>
        <w:ind w:firstLine="640" w:firstLineChars="200"/>
        <w:jc w:val="both"/>
        <w:outlineLvl w:val="2"/>
        <w:rPr>
          <w:rFonts w:hint="eastAsia" w:ascii="Times New Roman" w:hAnsi="Times New Roman" w:eastAsia="方正仿宋简体" w:cs="方正仿宋简体"/>
          <w:bCs/>
          <w:sz w:val="32"/>
          <w:szCs w:val="32"/>
          <w:lang w:val="en-US" w:eastAsia="zh-CN"/>
        </w:rPr>
      </w:pPr>
      <w:bookmarkStart w:id="271" w:name="_Toc243241486"/>
      <w:r>
        <w:rPr>
          <w:rFonts w:hint="eastAsia" w:ascii="Times New Roman" w:hAnsi="Times New Roman" w:eastAsia="方正仿宋简体" w:cs="方正仿宋简体"/>
          <w:bCs/>
          <w:sz w:val="32"/>
          <w:szCs w:val="32"/>
          <w:lang w:val="en-US" w:eastAsia="zh-CN"/>
        </w:rPr>
        <w:t>2．产值经济贡献持续跃升，工业增长支撑作用凸显</w:t>
      </w:r>
      <w:bookmarkEnd w:id="271"/>
    </w:p>
    <w:p w14:paraId="63795409">
      <w:pPr>
        <w:spacing w:line="576" w:lineRule="exact"/>
        <w:ind w:firstLine="640" w:firstLineChars="200"/>
        <w:jc w:val="both"/>
        <w:rPr>
          <w:rFonts w:hint="eastAsia" w:ascii="Times New Roman" w:hAnsi="Times New Roman" w:eastAsia="方正仿宋简体" w:cs="方正仿宋简体"/>
          <w:bCs/>
          <w:sz w:val="32"/>
          <w:szCs w:val="32"/>
          <w:lang w:val="en-US" w:eastAsia="zh-CN"/>
        </w:rPr>
      </w:pPr>
      <w:r>
        <w:rPr>
          <w:rFonts w:hint="eastAsia" w:ascii="Times New Roman" w:hAnsi="Times New Roman" w:eastAsia="方正仿宋简体" w:cs="方正仿宋简体"/>
          <w:bCs/>
          <w:sz w:val="32"/>
          <w:szCs w:val="32"/>
          <w:lang w:val="en-US" w:eastAsia="zh-CN"/>
        </w:rPr>
        <w:t>清洁能源产业是那曲绿色工业的核心增长极，产业增量态势强劲、财税贡献稳步攀升、集聚赋能效应持续释放，已成为拉动那曲经济提质增效、转型升级的关键核心动能。2025年全市清洁能源产业持续扩容提质，太阳能发电产业税收突破1200万元，同比增收513万元、增长74.7%，财税支撑保障能力持续增强；2005年新增清洁能源注册企业12家，市场主体队伍持续壮大，产业集聚规模化效应加速凸显；工业用电量同比提升42.3%，绿色能源对全市工业提质、产业转型、实体经济高质量发展的要素保障和牵引带动作用持续强化。</w:t>
      </w:r>
    </w:p>
    <w:p w14:paraId="4099BB01">
      <w:pPr>
        <w:spacing w:line="576" w:lineRule="exact"/>
        <w:ind w:firstLine="640" w:firstLineChars="200"/>
        <w:jc w:val="both"/>
        <w:rPr>
          <w:rFonts w:hint="eastAsia" w:ascii="Times New Roman" w:hAnsi="Times New Roman" w:eastAsia="方正仿宋简体" w:cs="方正仿宋简体"/>
          <w:bCs/>
          <w:sz w:val="32"/>
          <w:szCs w:val="32"/>
          <w:lang w:val="en-US" w:eastAsia="zh-CN"/>
        </w:rPr>
      </w:pPr>
      <w:r>
        <w:rPr>
          <w:rFonts w:hint="eastAsia" w:ascii="Times New Roman" w:hAnsi="Times New Roman" w:eastAsia="方正仿宋简体" w:cs="方正仿宋简体"/>
          <w:bCs/>
          <w:sz w:val="32"/>
          <w:szCs w:val="32"/>
          <w:lang w:val="en-US" w:eastAsia="zh-CN"/>
        </w:rPr>
        <w:t>依托中、东、西三区差异化、梯次化布局，全市清洁能源产业逐步构建形成“中部产能领跑、东部水电赋能、西部绿电储备”的全域增长格局，产业体量、财税贡献、集群效应全方位释放。中部片区持续盘活存量、做大增量，稳固全市能源供给基本盘；东部片区依托江达水电站等骨干水电项目落地投产，补齐清洁能源产业结构短板，丰富多能互补产业业态，持续提升区域能源自给能力和产业附加值；西部片区依托得天独厚的远期绿电储备资源，积蓄长期发展动能，为全市新型工业化建设、绿色低碳转型提供持续性、全域化的硬核支撑。</w:t>
      </w:r>
    </w:p>
    <w:p w14:paraId="64A7F81E">
      <w:pPr>
        <w:spacing w:line="576" w:lineRule="exact"/>
        <w:ind w:firstLine="640" w:firstLineChars="200"/>
        <w:jc w:val="both"/>
        <w:outlineLvl w:val="2"/>
        <w:rPr>
          <w:rFonts w:hint="eastAsia" w:ascii="Times New Roman" w:hAnsi="Times New Roman" w:eastAsia="方正仿宋简体" w:cs="方正仿宋简体"/>
          <w:bCs/>
          <w:sz w:val="32"/>
          <w:szCs w:val="32"/>
          <w:lang w:val="en-US" w:eastAsia="zh-CN"/>
        </w:rPr>
      </w:pPr>
      <w:bookmarkStart w:id="272" w:name="_Toc243241487"/>
      <w:r>
        <w:rPr>
          <w:rFonts w:hint="eastAsia" w:ascii="Times New Roman" w:hAnsi="Times New Roman" w:eastAsia="方正仿宋简体" w:cs="方正仿宋简体"/>
          <w:bCs/>
          <w:sz w:val="32"/>
          <w:szCs w:val="32"/>
          <w:lang w:val="en-US" w:eastAsia="zh-CN"/>
        </w:rPr>
        <w:t>3．就业承载业态</w:t>
      </w:r>
      <w:r>
        <w:rPr>
          <w:rFonts w:hint="eastAsia" w:ascii="Times New Roman" w:hAnsi="Times New Roman" w:eastAsia="方正仿宋简体" w:cs="方正仿宋简体"/>
          <w:bCs/>
          <w:sz w:val="32"/>
          <w:szCs w:val="32"/>
          <w:lang w:eastAsia="zh-CN"/>
        </w:rPr>
        <w:t>丰富</w:t>
      </w:r>
      <w:r>
        <w:rPr>
          <w:rFonts w:hint="eastAsia" w:ascii="Times New Roman" w:hAnsi="Times New Roman" w:eastAsia="方正仿宋简体" w:cs="方正仿宋简体"/>
          <w:bCs/>
          <w:sz w:val="32"/>
          <w:szCs w:val="32"/>
          <w:lang w:val="en-US" w:eastAsia="zh-CN"/>
        </w:rPr>
        <w:t>，富民赋能空间广阔</w:t>
      </w:r>
      <w:bookmarkEnd w:id="272"/>
    </w:p>
    <w:p w14:paraId="1AE6802D">
      <w:pPr>
        <w:spacing w:line="576" w:lineRule="exact"/>
        <w:ind w:firstLine="640" w:firstLineChars="200"/>
        <w:jc w:val="both"/>
        <w:rPr>
          <w:rFonts w:hint="eastAsia" w:ascii="Times New Roman" w:hAnsi="Times New Roman" w:eastAsia="方正仿宋简体" w:cs="方正仿宋简体"/>
          <w:bCs/>
          <w:sz w:val="32"/>
          <w:szCs w:val="32"/>
          <w:lang w:val="en-US" w:eastAsia="zh-CN"/>
        </w:rPr>
      </w:pPr>
      <w:r>
        <w:rPr>
          <w:rFonts w:hint="eastAsia" w:ascii="Times New Roman" w:hAnsi="Times New Roman" w:eastAsia="方正仿宋简体" w:cs="方正仿宋简体"/>
          <w:bCs/>
          <w:sz w:val="32"/>
          <w:szCs w:val="32"/>
          <w:lang w:val="en-US" w:eastAsia="zh-CN"/>
        </w:rPr>
        <w:t>清洁能源产业兼具技术密集、资本密集、劳动密集三重属性，产业链条长、项目布局广、配套业态丰富，就业吸纳层级多元、群众带动覆盖面广。依托中部风光储能、东部水电开发、西部绿电基地全域建设布局，可围绕电站建设、设备运维、电网升级、能源输送、配套服务、项目管理等全产业链环节，持续释放专业化、技能化、基础性就业岗位，有效带动本地群众就地就近就业、技能化增收。同时，清洁能源全域规模化发展，持续带动装备运维、商贸服务、电力消纳、能源储运等上下游配套产业集聚发展，不断拓展就业场景、扩容就业体量，为稳定全市就业大局、拓宽农牧民多元增收渠道、夯实乡村振兴民生根基提供坚实支撑。</w:t>
      </w:r>
    </w:p>
    <w:p w14:paraId="17CFF9B2">
      <w:pPr>
        <w:spacing w:line="576" w:lineRule="exact"/>
        <w:ind w:firstLine="640" w:firstLineChars="200"/>
        <w:jc w:val="both"/>
        <w:outlineLvl w:val="2"/>
        <w:rPr>
          <w:rFonts w:hint="eastAsia" w:ascii="Times New Roman" w:hAnsi="Times New Roman" w:eastAsia="方正仿宋简体" w:cs="方正仿宋简体"/>
          <w:bCs/>
          <w:sz w:val="32"/>
          <w:szCs w:val="32"/>
          <w:lang w:val="en-US" w:eastAsia="zh-CN"/>
        </w:rPr>
      </w:pPr>
      <w:bookmarkStart w:id="273" w:name="_Toc243241488"/>
      <w:r>
        <w:rPr>
          <w:rFonts w:hint="eastAsia" w:ascii="Times New Roman" w:hAnsi="Times New Roman" w:eastAsia="方正仿宋简体" w:cs="方正仿宋简体"/>
          <w:bCs/>
          <w:sz w:val="32"/>
          <w:szCs w:val="32"/>
          <w:lang w:val="en-US" w:eastAsia="zh-CN"/>
        </w:rPr>
        <w:t>4．政策扶持力度持续加码，产业发展保障系统完备</w:t>
      </w:r>
      <w:bookmarkEnd w:id="273"/>
    </w:p>
    <w:p w14:paraId="20AACFBF">
      <w:pPr>
        <w:spacing w:line="576" w:lineRule="exact"/>
        <w:ind w:firstLine="640" w:firstLineChars="200"/>
        <w:jc w:val="both"/>
        <w:rPr>
          <w:rFonts w:hint="eastAsia" w:ascii="Times New Roman" w:hAnsi="Times New Roman" w:eastAsia="方正仿宋简体" w:cs="方正仿宋简体"/>
          <w:bCs/>
          <w:sz w:val="32"/>
          <w:szCs w:val="32"/>
          <w:lang w:val="en-US" w:eastAsia="zh-CN"/>
        </w:rPr>
      </w:pPr>
      <w:r>
        <w:rPr>
          <w:rFonts w:hint="eastAsia" w:ascii="Times New Roman" w:hAnsi="Times New Roman" w:eastAsia="方正仿宋简体" w:cs="方正仿宋简体"/>
          <w:bCs/>
          <w:sz w:val="32"/>
          <w:szCs w:val="32"/>
          <w:lang w:val="en-US" w:eastAsia="zh-CN"/>
        </w:rPr>
        <w:t>清洁能源产业发展高度契合国家新能源体系建设、青藏高原生态保护、西藏清洁能源基地建设等重大战略部署，是那曲市推进新型工业化、实现绿色低碳发展的核心抓手。自治区、市两级持续强化顶层设计，紧扣中、东、西三区资源禀赋和产业定位，精准出台差异化、配套化专项扶持政策，在项目审批、用地保障、财税扶持、电网配套、要素供给等方面给予全方位倾斜，重点保障中部风光储能示范项目、东部江达水电站水能开发项目、西部生态型绿电基地项目落地实施。通过系统化政策赋能、分区精准施策、全流程项目保障、梯度化主体培育，构建形成“战略引领、政策支撑、全域布局、项目落地、要素兜底”的全链条扶持体系，为清洁能源全域规模化开发、产业化集聚、高质量发展筑牢制度屏障。</w:t>
      </w:r>
    </w:p>
    <w:p w14:paraId="53F0A10F">
      <w:pPr>
        <w:spacing w:line="576" w:lineRule="exact"/>
        <w:ind w:firstLine="640" w:firstLineChars="200"/>
        <w:jc w:val="both"/>
        <w:outlineLvl w:val="2"/>
        <w:rPr>
          <w:rFonts w:hint="eastAsia" w:ascii="Times New Roman" w:hAnsi="Times New Roman" w:eastAsia="方正仿宋简体" w:cs="方正仿宋简体"/>
          <w:bCs/>
          <w:sz w:val="32"/>
          <w:szCs w:val="32"/>
          <w:lang w:val="en-US" w:eastAsia="zh-CN"/>
        </w:rPr>
      </w:pPr>
      <w:bookmarkStart w:id="274" w:name="_Toc243241489"/>
      <w:r>
        <w:rPr>
          <w:rFonts w:hint="eastAsia" w:ascii="Times New Roman" w:hAnsi="Times New Roman" w:eastAsia="方正仿宋简体" w:cs="方正仿宋简体"/>
          <w:bCs/>
          <w:sz w:val="32"/>
          <w:szCs w:val="32"/>
          <w:lang w:val="en-US" w:eastAsia="zh-CN"/>
        </w:rPr>
        <w:t>5．未来成长空间极为广阔，产业发展动能充沛充盈</w:t>
      </w:r>
      <w:bookmarkEnd w:id="274"/>
    </w:p>
    <w:p w14:paraId="515FB203">
      <w:pPr>
        <w:spacing w:line="576" w:lineRule="exact"/>
        <w:ind w:firstLine="640" w:firstLineChars="200"/>
        <w:jc w:val="both"/>
        <w:rPr>
          <w:rFonts w:hint="eastAsia" w:ascii="Times New Roman" w:hAnsi="Times New Roman" w:eastAsia="方正仿宋简体" w:cs="方正仿宋简体"/>
          <w:bCs/>
          <w:sz w:val="32"/>
          <w:szCs w:val="32"/>
          <w:lang w:val="en-US" w:eastAsia="zh-CN"/>
        </w:rPr>
      </w:pPr>
      <w:r>
        <w:rPr>
          <w:rFonts w:hint="eastAsia" w:ascii="Times New Roman" w:hAnsi="Times New Roman" w:eastAsia="方正仿宋简体" w:cs="方正仿宋简体"/>
          <w:bCs/>
          <w:sz w:val="32"/>
          <w:szCs w:val="32"/>
          <w:lang w:val="en-US" w:eastAsia="zh-CN"/>
        </w:rPr>
        <w:t>那曲市清洁能源资源储备体量庞大、开发潜力极为突出，依托全域优质风、光、水资源，全市规划布局11个抽水蓄能点位，总规划装机规模超1500万千瓦，叠加东部江达水电站等骨干水电项目赋能，产业多元协同开发优势持续凸显。当前，全市全力推进“国家清洁能源贡献地”建设，统筹推动中部风光储能迭代升级、东部水风光多能互补开发、西部生态绿电有序储备，持续推进清洁能源项目迭代落地、产业链延伸补强、能源消纳体系提质完善。随着全域在建、拟建项目陆续投产见效，产业装机规模、发电体量、财税贡献、集聚效应将实现持续性跨越式增长，切实将资源优势全面转化为产业优势、经济优势和发展优势，长效支撑全市绿色产业迭代升级和市域经济高质量发展。</w:t>
      </w:r>
    </w:p>
    <w:p w14:paraId="5F3CF6B4">
      <w:pPr>
        <w:spacing w:line="576" w:lineRule="exact"/>
        <w:ind w:firstLine="640" w:firstLineChars="200"/>
        <w:jc w:val="both"/>
        <w:rPr>
          <w:rFonts w:hint="eastAsia" w:ascii="Times New Roman" w:hAnsi="Times New Roman" w:eastAsia="方正仿宋简体" w:cs="方正仿宋简体"/>
          <w:bCs/>
          <w:sz w:val="32"/>
          <w:szCs w:val="32"/>
          <w:lang w:val="en-US" w:eastAsia="zh-CN"/>
        </w:rPr>
      </w:pPr>
      <w:r>
        <w:rPr>
          <w:rFonts w:hint="eastAsia" w:ascii="Times New Roman" w:hAnsi="Times New Roman" w:eastAsia="方正仿宋简体" w:cs="方正仿宋简体"/>
          <w:bCs/>
          <w:sz w:val="32"/>
          <w:szCs w:val="32"/>
          <w:lang w:val="en-US" w:eastAsia="zh-CN"/>
        </w:rPr>
        <w:t>综上，那曲市清洁能源产业资源禀赋优越、全域布局成型、产业体量持续扩容、财税支撑有力、富民赋能多元、政策保障完善、发展潜力巨大。</w:t>
      </w:r>
      <w:bookmarkStart w:id="275" w:name="OLE_LINK145"/>
      <w:r>
        <w:rPr>
          <w:rFonts w:hint="eastAsia" w:ascii="Times New Roman" w:hAnsi="Times New Roman" w:eastAsia="方正仿宋简体" w:cs="方正仿宋简体"/>
          <w:bCs/>
          <w:sz w:val="32"/>
          <w:szCs w:val="32"/>
          <w:lang w:eastAsia="zh-CN"/>
        </w:rPr>
        <w:t>清洁能源产业通过构建中部率先突破、东部联动赋能、西部融合发展的全域产业发展格局，实现风光水多能互补、三区协同发力、全域梯次跃升，是引领全市绿色低碳转型、壮大新型工业经济、优化那曲产业结构的战略性支柱产业，其在全市高质量发展中的核心支撑地位持续巩固。</w:t>
      </w:r>
    </w:p>
    <w:bookmarkEnd w:id="264"/>
    <w:bookmarkEnd w:id="275"/>
    <w:p w14:paraId="40D13A85">
      <w:pPr>
        <w:pStyle w:val="8"/>
        <w:overflowPunct w:val="0"/>
        <w:topLinePunct/>
        <w:autoSpaceDE/>
        <w:autoSpaceDN/>
        <w:spacing w:before="0" w:line="576" w:lineRule="exact"/>
        <w:ind w:left="0" w:firstLine="640" w:firstLineChars="200"/>
        <w:jc w:val="both"/>
        <w:outlineLvl w:val="1"/>
        <w:rPr>
          <w:rFonts w:ascii="Times New Roman" w:hAnsi="Times New Roman" w:eastAsia="方正楷体简体" w:cs="方正仿宋简体"/>
          <w:sz w:val="32"/>
          <w:szCs w:val="32"/>
        </w:rPr>
      </w:pPr>
      <w:bookmarkStart w:id="276" w:name="_Toc243241490"/>
      <w:bookmarkStart w:id="277" w:name="_Toc218422267"/>
      <w:r>
        <w:rPr>
          <w:rFonts w:hint="eastAsia" w:ascii="Times New Roman" w:hAnsi="Times New Roman" w:eastAsia="方正楷体简体" w:cs="方正仿宋简体"/>
          <w:sz w:val="32"/>
          <w:szCs w:val="32"/>
        </w:rPr>
        <w:t>（三）生态文旅产业</w:t>
      </w:r>
      <w:bookmarkEnd w:id="276"/>
      <w:bookmarkEnd w:id="277"/>
    </w:p>
    <w:p w14:paraId="35BEE612">
      <w:pPr>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那曲市特色文旅产业紧扣市委“旅游强市”战略部署，是推进旅游强市建设的核心抓手、</w:t>
      </w:r>
      <w:bookmarkStart w:id="278" w:name="OLE_LINK146"/>
      <w:r>
        <w:rPr>
          <w:rFonts w:hint="eastAsia" w:ascii="Times New Roman" w:hAnsi="Times New Roman" w:eastAsia="方正仿宋简体" w:cs="方正仿宋简体"/>
          <w:bCs/>
          <w:sz w:val="32"/>
          <w:szCs w:val="28"/>
          <w:lang w:val="en-US" w:eastAsia="zh-CN"/>
        </w:rPr>
        <w:t>那曲</w:t>
      </w:r>
      <w:bookmarkEnd w:id="278"/>
      <w:r>
        <w:rPr>
          <w:rFonts w:hint="eastAsia" w:ascii="Times New Roman" w:hAnsi="Times New Roman" w:eastAsia="方正仿宋简体" w:cs="方正仿宋简体"/>
          <w:bCs/>
          <w:sz w:val="32"/>
          <w:szCs w:val="28"/>
          <w:lang w:val="en-US" w:eastAsia="zh-CN"/>
        </w:rPr>
        <w:t>第三产业提质扩容的核心支柱产业。产业整体资源禀赋独特、增长动能强劲、经济贡献凸显、富民覆盖面广、发展潜力深厚，对优化全市产业结构、激活文旅消费市场、赋能乡村全面振兴、推动那曲经济高质量发展具有战略性、牵引性、支撑性作用。</w:t>
      </w:r>
    </w:p>
    <w:p w14:paraId="778D0DA3">
      <w:pPr>
        <w:spacing w:line="576" w:lineRule="exact"/>
        <w:ind w:firstLine="640" w:firstLineChars="200"/>
        <w:jc w:val="both"/>
        <w:outlineLvl w:val="2"/>
        <w:rPr>
          <w:rFonts w:hint="eastAsia" w:ascii="Times New Roman" w:hAnsi="Times New Roman" w:eastAsia="方正仿宋简体" w:cs="方正仿宋简体"/>
          <w:bCs/>
          <w:sz w:val="32"/>
          <w:szCs w:val="28"/>
          <w:lang w:val="en-US" w:eastAsia="zh-CN"/>
        </w:rPr>
      </w:pPr>
      <w:bookmarkStart w:id="279" w:name="_Toc243241491"/>
      <w:r>
        <w:rPr>
          <w:rFonts w:hint="eastAsia" w:ascii="Times New Roman" w:hAnsi="Times New Roman" w:eastAsia="方正仿宋简体" w:cs="方正仿宋简体"/>
          <w:bCs/>
          <w:sz w:val="32"/>
          <w:szCs w:val="28"/>
          <w:lang w:val="en-US" w:eastAsia="zh-CN"/>
        </w:rPr>
        <w:t>1．产业基础条件得天独厚，文旅发展底盘持续夯实，筑牢旅游强市建设根基</w:t>
      </w:r>
      <w:bookmarkEnd w:id="279"/>
    </w:p>
    <w:p w14:paraId="795122E4">
      <w:pPr>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那曲市坐拥独一无二的极地草原生态资源、厚重悠久的游牧民俗文化与特色非遗资源，文旅资源辨识度高、优势突出，具备发展高端生态文旅、民俗体验、文化研学的先天禀赋，是全市推进旅游强市战略的核心资源依托。全市聚焦“</w:t>
      </w:r>
      <w:bookmarkStart w:id="280" w:name="OLE_LINK147"/>
      <w:r>
        <w:rPr>
          <w:rFonts w:hint="eastAsia" w:ascii="Times New Roman" w:hAnsi="Times New Roman" w:eastAsia="方正仿宋简体" w:cs="方正仿宋简体"/>
          <w:bCs/>
          <w:sz w:val="32"/>
          <w:szCs w:val="28"/>
          <w:lang w:val="en-US" w:eastAsia="zh-CN"/>
        </w:rPr>
        <w:t>旅游强市</w:t>
      </w:r>
      <w:bookmarkEnd w:id="280"/>
      <w:r>
        <w:rPr>
          <w:rFonts w:hint="eastAsia" w:ascii="Times New Roman" w:hAnsi="Times New Roman" w:eastAsia="方正仿宋简体" w:cs="方正仿宋简体"/>
          <w:bCs/>
          <w:sz w:val="32"/>
          <w:szCs w:val="28"/>
          <w:lang w:val="en-US" w:eastAsia="zh-CN"/>
        </w:rPr>
        <w:t>”建设目标，持续完善文旅基础设施、优化产业发展载体，文旅业态日趋丰富、品牌体系加速成型。2025年产业实现跨越式跃升，全市接待游客294.35万人次、同比增长34.34%，旅游总收入9.57亿元、同比增长31.9%，文化产业产值8.4亿元、同比增长35.85%。同时，萨普景区成功创建国家4A级旅游景区，精品景区矩阵逐步成型，“极地那曲”文旅品牌影响力、市场吸引力持续提升，产业规模化、品质化、品牌化发展格局基本形成，为旅游强市建设夯实了坚实产业底盘。</w:t>
      </w:r>
    </w:p>
    <w:p w14:paraId="38B48E9F">
      <w:pPr>
        <w:spacing w:line="576" w:lineRule="exact"/>
        <w:ind w:firstLine="640" w:firstLineChars="200"/>
        <w:jc w:val="both"/>
        <w:outlineLvl w:val="2"/>
        <w:rPr>
          <w:rFonts w:hint="eastAsia" w:ascii="Times New Roman" w:hAnsi="Times New Roman" w:eastAsia="方正仿宋简体" w:cs="方正仿宋简体"/>
          <w:bCs/>
          <w:sz w:val="32"/>
          <w:szCs w:val="28"/>
          <w:lang w:val="en-US" w:eastAsia="zh-CN"/>
        </w:rPr>
      </w:pPr>
      <w:bookmarkStart w:id="281" w:name="_Toc243241492"/>
      <w:r>
        <w:rPr>
          <w:rFonts w:hint="eastAsia" w:ascii="Times New Roman" w:hAnsi="Times New Roman" w:eastAsia="方正仿宋简体" w:cs="方正仿宋简体"/>
          <w:bCs/>
          <w:sz w:val="32"/>
          <w:szCs w:val="28"/>
          <w:lang w:val="en-US" w:eastAsia="zh-CN"/>
        </w:rPr>
        <w:t>2．产值经济贡献高速攀升，三产增长支撑作用凸显，强化旅游强市经济赋能</w:t>
      </w:r>
      <w:bookmarkEnd w:id="281"/>
    </w:p>
    <w:p w14:paraId="01D0451A">
      <w:pPr>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特色文旅产业是那曲市第三产业核心增长极，更是落实旅游强市战略、培育那曲优势支柱产业的关键突破口，产业增速迅猛、业态持续升级、市场活力充分释放，对那曲经济转型升级、消费扩容提质、产业结构优化起到关键牵引作用。2025年全市文化产业产值增至8.4亿元，同比增速高达35.85%，产业体量持续壮大。细分行业增长势头强劲，其中旅行社及相关服务、文艺创作与表演行业增值税发票销售金额分别同比增长37%、72.9%，文旅配套业态加速集聚。全年游客接待人次、旅游总收入分别同比增长32.6%、21.8%，核心经济指标持续高位增长，文旅产业对全市服务业增长、实体经济提质增效的支撑拉动作用持续强化，成为撬动旅游强市建设、推动那曲经济高质量发展的重要增长引擎。</w:t>
      </w:r>
    </w:p>
    <w:p w14:paraId="2DF7BA08">
      <w:pPr>
        <w:spacing w:line="576" w:lineRule="exact"/>
        <w:ind w:firstLine="640" w:firstLineChars="200"/>
        <w:jc w:val="both"/>
        <w:outlineLvl w:val="2"/>
        <w:rPr>
          <w:rFonts w:hint="eastAsia" w:ascii="Times New Roman" w:hAnsi="Times New Roman" w:eastAsia="方正仿宋简体" w:cs="方正仿宋简体"/>
          <w:bCs/>
          <w:sz w:val="32"/>
          <w:szCs w:val="28"/>
          <w:lang w:val="en-US" w:eastAsia="zh-CN"/>
        </w:rPr>
      </w:pPr>
      <w:bookmarkStart w:id="282" w:name="_Toc243241493"/>
      <w:r>
        <w:rPr>
          <w:rFonts w:hint="eastAsia" w:ascii="Times New Roman" w:hAnsi="Times New Roman" w:eastAsia="方正仿宋简体" w:cs="方正仿宋简体"/>
          <w:bCs/>
          <w:sz w:val="32"/>
          <w:szCs w:val="28"/>
          <w:lang w:val="en-US" w:eastAsia="zh-CN"/>
        </w:rPr>
        <w:t>3．就业承载覆盖面广，富民惠民效能扎实突出，夯实</w:t>
      </w:r>
      <w:bookmarkStart w:id="283" w:name="OLE_LINK148"/>
      <w:r>
        <w:rPr>
          <w:rFonts w:hint="eastAsia" w:ascii="Times New Roman" w:hAnsi="Times New Roman" w:eastAsia="方正仿宋简体" w:cs="方正仿宋简体"/>
          <w:bCs/>
          <w:sz w:val="32"/>
          <w:szCs w:val="28"/>
          <w:lang w:val="en-US" w:eastAsia="zh-CN"/>
        </w:rPr>
        <w:t>“旅游强市”</w:t>
      </w:r>
      <w:bookmarkEnd w:id="283"/>
      <w:r>
        <w:rPr>
          <w:rFonts w:hint="eastAsia" w:ascii="Times New Roman" w:hAnsi="Times New Roman" w:eastAsia="方正仿宋简体" w:cs="方正仿宋简体"/>
          <w:bCs/>
          <w:sz w:val="32"/>
          <w:szCs w:val="28"/>
          <w:lang w:val="en-US" w:eastAsia="zh-CN"/>
        </w:rPr>
        <w:t>民生基础</w:t>
      </w:r>
      <w:bookmarkEnd w:id="282"/>
    </w:p>
    <w:p w14:paraId="13A8989B">
      <w:pPr>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特色文旅产业关联度高、产业链条长、带动业态丰富，涵盖景区运营、文旅服务、非遗展演、餐饮住宿、文创销售、研学体验等多元领域，兼具广覆盖、多层次、本地化的就业带动优势，是践行旅游强市战略、实现文旅富民惠民的核心载体。产业持续扩容有效带动农牧民群众就地就近就业、参与业态经营、分享产业收益，依托非遗工坊、文旅体验基地、乡村旅游点位等载体，持续拓宽群众经营性、服务性增收渠道。同时撬动餐饮、住宿、交通、文创产品销售等配套产业协同发展，全方位夯实民生保障、助力群众稳定增收，充分彰显旅游强市建设的民生价值，富民惠民支柱效能显著。</w:t>
      </w:r>
    </w:p>
    <w:p w14:paraId="45F338AB">
      <w:pPr>
        <w:spacing w:line="576" w:lineRule="exact"/>
        <w:ind w:firstLine="640" w:firstLineChars="200"/>
        <w:jc w:val="both"/>
        <w:outlineLvl w:val="2"/>
        <w:rPr>
          <w:rFonts w:hint="eastAsia" w:ascii="Times New Roman" w:hAnsi="Times New Roman" w:eastAsia="方正仿宋简体" w:cs="方正仿宋简体"/>
          <w:bCs/>
          <w:sz w:val="32"/>
          <w:szCs w:val="28"/>
          <w:lang w:val="en-US" w:eastAsia="zh-CN"/>
        </w:rPr>
      </w:pPr>
      <w:bookmarkStart w:id="284" w:name="_Toc243241494"/>
      <w:r>
        <w:rPr>
          <w:rFonts w:hint="eastAsia" w:ascii="Times New Roman" w:hAnsi="Times New Roman" w:eastAsia="方正仿宋简体" w:cs="方正仿宋简体"/>
          <w:bCs/>
          <w:sz w:val="32"/>
          <w:szCs w:val="28"/>
          <w:lang w:val="en-US" w:eastAsia="zh-CN"/>
        </w:rPr>
        <w:t>4．政策扶持体系完善，产业发展保障坚实有力，健全旅游强市支撑体系</w:t>
      </w:r>
      <w:bookmarkEnd w:id="284"/>
    </w:p>
    <w:p w14:paraId="1ED1C11B">
      <w:pPr>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特色文旅产业作为全市“旅游强市”战略的核心落地抓手，深度融入全市生态文旅融合、乡村振兴、高质量发展总体战略布局，是“七个强市”战略体系的重点培育优势主导产业。市县两级坚持高位统筹、系统谋划，紧扣“旅游强市”战略总体部署，聚焦文旅品牌打造、景区提质升级、非遗活化利用、文旅业态创新、市场主体培育等关键领域，出台系列专项扶持举措，持续完善基础设施配套、健全产业发展机制、强化市场推广赋能，构建形成规划引领、项目支撑、政策赋能、业态培育的全方位保障体系，为文旅产业规范化、融合化、品牌化高质量发展保驾护航，全面推动旅游强市战略落地落细、见行见效。</w:t>
      </w:r>
    </w:p>
    <w:p w14:paraId="6FE9D922">
      <w:pPr>
        <w:spacing w:line="576" w:lineRule="exact"/>
        <w:ind w:firstLine="640" w:firstLineChars="200"/>
        <w:jc w:val="both"/>
        <w:outlineLvl w:val="2"/>
        <w:rPr>
          <w:rFonts w:hint="eastAsia" w:ascii="Times New Roman" w:hAnsi="Times New Roman" w:eastAsia="方正仿宋简体" w:cs="方正仿宋简体"/>
          <w:bCs/>
          <w:sz w:val="32"/>
          <w:szCs w:val="28"/>
          <w:lang w:val="en-US" w:eastAsia="zh-CN"/>
        </w:rPr>
      </w:pPr>
      <w:bookmarkStart w:id="285" w:name="_Toc243241495"/>
      <w:r>
        <w:rPr>
          <w:rFonts w:hint="eastAsia" w:ascii="Times New Roman" w:hAnsi="Times New Roman" w:eastAsia="方正仿宋简体" w:cs="方正仿宋简体"/>
          <w:bCs/>
          <w:sz w:val="32"/>
          <w:szCs w:val="28"/>
          <w:lang w:val="en-US" w:eastAsia="zh-CN"/>
        </w:rPr>
        <w:t>5．未来成长空间广阔，产业发展动能充沛充盈，激活旅游强市长远势能</w:t>
      </w:r>
      <w:bookmarkEnd w:id="285"/>
    </w:p>
    <w:p w14:paraId="793BF39F">
      <w:pPr>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那曲市立足独特的极地草原风光、原生态基底、厚重游牧民俗文化，锚定“旅游强市”战略，持续深化</w:t>
      </w:r>
      <w:bookmarkStart w:id="286" w:name="OLE_LINK9"/>
      <w:r>
        <w:rPr>
          <w:rFonts w:hint="eastAsia" w:ascii="Times New Roman" w:hAnsi="Times New Roman" w:eastAsia="方正仿宋简体" w:cs="方正仿宋简体"/>
          <w:bCs/>
          <w:sz w:val="32"/>
          <w:szCs w:val="28"/>
          <w:lang w:val="en-US" w:eastAsia="zh-CN"/>
        </w:rPr>
        <w:t>“旅游+生态”“旅游+文化”“旅游+农牧”</w:t>
      </w:r>
      <w:bookmarkEnd w:id="286"/>
      <w:r>
        <w:rPr>
          <w:rFonts w:hint="eastAsia" w:ascii="Times New Roman" w:hAnsi="Times New Roman" w:eastAsia="方正仿宋简体" w:cs="方正仿宋简体"/>
          <w:bCs/>
          <w:sz w:val="32"/>
          <w:szCs w:val="28"/>
          <w:lang w:val="en-US" w:eastAsia="zh-CN"/>
        </w:rPr>
        <w:t>深度融合发展模式，坚持“</w:t>
      </w:r>
      <w:bookmarkStart w:id="287" w:name="OLE_LINK29"/>
      <w:r>
        <w:rPr>
          <w:rFonts w:hint="eastAsia" w:ascii="Times New Roman" w:hAnsi="Times New Roman" w:eastAsia="方正仿宋简体" w:cs="方正仿宋简体"/>
          <w:bCs/>
          <w:sz w:val="32"/>
          <w:szCs w:val="28"/>
          <w:lang w:val="en-US" w:eastAsia="zh-CN"/>
        </w:rPr>
        <w:t>点上做精、线上做优、面上做活</w:t>
      </w:r>
      <w:bookmarkEnd w:id="287"/>
      <w:r>
        <w:rPr>
          <w:rFonts w:hint="eastAsia" w:ascii="Times New Roman" w:hAnsi="Times New Roman" w:eastAsia="方正仿宋简体" w:cs="方正仿宋简体"/>
          <w:bCs/>
          <w:sz w:val="32"/>
          <w:szCs w:val="28"/>
          <w:lang w:val="en-US" w:eastAsia="zh-CN"/>
        </w:rPr>
        <w:t>”工作主线，不断丰富</w:t>
      </w:r>
      <w:bookmarkStart w:id="288" w:name="OLE_LINK28"/>
      <w:r>
        <w:rPr>
          <w:rFonts w:hint="eastAsia" w:ascii="Times New Roman" w:hAnsi="Times New Roman" w:eastAsia="方正仿宋简体" w:cs="方正仿宋简体"/>
          <w:bCs/>
          <w:sz w:val="32"/>
          <w:szCs w:val="28"/>
          <w:lang w:val="en-US" w:eastAsia="zh-CN"/>
        </w:rPr>
        <w:t>生态观光、非遗研学、沉浸式体验、数字文创、户外运动、低空飞行观光、</w:t>
      </w:r>
      <w:bookmarkStart w:id="289" w:name="OLE_LINK149"/>
      <w:r>
        <w:rPr>
          <w:rFonts w:hint="eastAsia" w:ascii="Times New Roman" w:hAnsi="Times New Roman" w:eastAsia="方正仿宋简体" w:cs="方正仿宋简体"/>
          <w:bCs/>
          <w:sz w:val="32"/>
          <w:szCs w:val="28"/>
          <w:lang w:val="en-US" w:eastAsia="zh-CN"/>
        </w:rPr>
        <w:t>特色旅游</w:t>
      </w:r>
      <w:bookmarkEnd w:id="289"/>
      <w:r>
        <w:rPr>
          <w:rFonts w:hint="eastAsia" w:ascii="Times New Roman" w:hAnsi="Times New Roman" w:eastAsia="方正仿宋简体" w:cs="方正仿宋简体"/>
          <w:bCs/>
          <w:sz w:val="32"/>
          <w:szCs w:val="28"/>
          <w:lang w:val="en-US" w:eastAsia="zh-CN"/>
        </w:rPr>
        <w:t>、高原体育赛事等新兴业态</w:t>
      </w:r>
      <w:bookmarkEnd w:id="288"/>
      <w:r>
        <w:rPr>
          <w:rFonts w:hint="eastAsia" w:ascii="Times New Roman" w:hAnsi="Times New Roman" w:eastAsia="方正仿宋简体" w:cs="方正仿宋简体"/>
          <w:bCs/>
          <w:sz w:val="32"/>
          <w:szCs w:val="28"/>
          <w:lang w:val="en-US" w:eastAsia="zh-CN"/>
        </w:rPr>
        <w:t>。依托持续升级的文旅硬件配套、持续放大的品牌效应、持续扩容的消费市场，产业资源优势、文化优势、生态优势将加速转化为产业优势、经济优势和竞争优势。随着精品景区创建、文旅项目落地、业态创新升级持续推进，特色文旅产业发展潜力将持续释放，持续夯实“旅游强市”战略核心支撑，长期引领全市三产提质增效、赋能</w:t>
      </w:r>
      <w:bookmarkStart w:id="290" w:name="OLE_LINK168"/>
      <w:r>
        <w:rPr>
          <w:rFonts w:hint="eastAsia" w:ascii="Times New Roman" w:hAnsi="Times New Roman" w:eastAsia="方正仿宋简体" w:cs="方正仿宋简体"/>
          <w:bCs/>
          <w:sz w:val="32"/>
          <w:szCs w:val="28"/>
          <w:lang w:val="en-US" w:eastAsia="zh-CN"/>
        </w:rPr>
        <w:t>那曲</w:t>
      </w:r>
      <w:bookmarkEnd w:id="290"/>
      <w:r>
        <w:rPr>
          <w:rFonts w:hint="eastAsia" w:ascii="Times New Roman" w:hAnsi="Times New Roman" w:eastAsia="方正仿宋简体" w:cs="方正仿宋简体"/>
          <w:bCs/>
          <w:sz w:val="32"/>
          <w:szCs w:val="28"/>
          <w:lang w:val="en-US" w:eastAsia="zh-CN"/>
        </w:rPr>
        <w:t>经济迭代升级，助力“七个强市”战略全面落地见效。</w:t>
      </w:r>
    </w:p>
    <w:p w14:paraId="0BFE07C9">
      <w:pPr>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综上，那曲市特色文旅产业资源禀赋优越、产业增速迅猛、经济贡献突出、就业富民效能显著、政策保障体系完善、成长空间巨大，是支撑全市第三产业高质量发展、激活消费市场、传承民俗文化、带动群众增收致富的核心支柱产业，那曲产业体系中的支柱引领地位持续稳固。</w:t>
      </w:r>
    </w:p>
    <w:bookmarkEnd w:id="252"/>
    <w:p w14:paraId="2B7D6896">
      <w:pPr>
        <w:pStyle w:val="8"/>
        <w:overflowPunct w:val="0"/>
        <w:topLinePunct/>
        <w:autoSpaceDE/>
        <w:autoSpaceDN/>
        <w:spacing w:before="0" w:line="576" w:lineRule="exact"/>
        <w:ind w:left="0" w:firstLine="640" w:firstLineChars="200"/>
        <w:jc w:val="both"/>
        <w:outlineLvl w:val="0"/>
        <w:rPr>
          <w:rFonts w:ascii="Times New Roman" w:hAnsi="Times New Roman" w:eastAsia="方正黑体简体" w:cs="方正黑体简体"/>
          <w:sz w:val="32"/>
          <w:szCs w:val="32"/>
          <w:lang w:val="en-US" w:eastAsia="zh-CN"/>
        </w:rPr>
      </w:pPr>
      <w:bookmarkStart w:id="291" w:name="_Toc243241496"/>
      <w:bookmarkStart w:id="292" w:name="_Toc212558122"/>
      <w:bookmarkStart w:id="293" w:name="_Toc218422268"/>
      <w:r>
        <w:rPr>
          <w:rFonts w:hint="eastAsia" w:ascii="Times New Roman" w:hAnsi="Times New Roman" w:eastAsia="方正黑体简体" w:cs="方正黑体简体"/>
          <w:sz w:val="32"/>
          <w:szCs w:val="32"/>
          <w:lang w:val="en-US" w:eastAsia="zh-CN"/>
        </w:rPr>
        <w:t>三、潜力产业</w:t>
      </w:r>
      <w:bookmarkEnd w:id="291"/>
      <w:bookmarkEnd w:id="292"/>
      <w:bookmarkEnd w:id="293"/>
    </w:p>
    <w:p w14:paraId="05220FAC">
      <w:pPr>
        <w:pStyle w:val="8"/>
        <w:overflowPunct w:val="0"/>
        <w:topLinePunct/>
        <w:autoSpaceDE/>
        <w:autoSpaceDN/>
        <w:spacing w:before="0" w:line="576" w:lineRule="exact"/>
        <w:ind w:left="0" w:firstLine="640" w:firstLineChars="200"/>
        <w:jc w:val="both"/>
        <w:outlineLvl w:val="1"/>
        <w:rPr>
          <w:rFonts w:ascii="Times New Roman" w:hAnsi="Times New Roman" w:eastAsia="方正楷体简体" w:cs="方正楷体简体"/>
          <w:sz w:val="32"/>
          <w:szCs w:val="32"/>
        </w:rPr>
      </w:pPr>
      <w:bookmarkStart w:id="294" w:name="_Toc218422269"/>
      <w:bookmarkStart w:id="295" w:name="_Toc243241497"/>
      <w:bookmarkStart w:id="296" w:name="OLE_LINK12"/>
      <w:r>
        <w:rPr>
          <w:rFonts w:hint="eastAsia" w:ascii="Times New Roman" w:hAnsi="Times New Roman" w:eastAsia="方正楷体简体" w:cs="方正楷体简体"/>
          <w:sz w:val="32"/>
          <w:szCs w:val="32"/>
        </w:rPr>
        <w:t>（一）天然饮用水</w:t>
      </w:r>
      <w:bookmarkEnd w:id="294"/>
      <w:r>
        <w:rPr>
          <w:rFonts w:hint="eastAsia" w:ascii="Times New Roman" w:hAnsi="Times New Roman" w:eastAsia="方正楷体简体" w:cs="方正楷体简体"/>
          <w:sz w:val="32"/>
          <w:szCs w:val="32"/>
        </w:rPr>
        <w:t>产业</w:t>
      </w:r>
      <w:bookmarkEnd w:id="295"/>
    </w:p>
    <w:p w14:paraId="06BFF069">
      <w:pPr>
        <w:spacing w:line="576" w:lineRule="exact"/>
        <w:ind w:firstLine="640" w:firstLineChars="200"/>
        <w:jc w:val="both"/>
        <w:rPr>
          <w:rFonts w:ascii="Times New Roman" w:hAnsi="Times New Roman" w:eastAsia="方正仿宋简体" w:cs="方正仿宋简体"/>
          <w:bCs/>
          <w:sz w:val="32"/>
          <w:szCs w:val="28"/>
          <w:lang w:val="en-US"/>
        </w:rPr>
      </w:pPr>
      <w:r>
        <w:rPr>
          <w:rFonts w:hint="eastAsia" w:ascii="Times New Roman" w:hAnsi="Times New Roman" w:eastAsia="方正仿宋简体" w:cs="方正仿宋简体"/>
          <w:bCs/>
          <w:sz w:val="32"/>
          <w:szCs w:val="28"/>
          <w:lang w:val="en-US" w:eastAsia="zh-CN"/>
        </w:rPr>
        <w:t>结合产业基础条件</w:t>
      </w:r>
      <w:r>
        <w:rPr>
          <w:rFonts w:hint="eastAsia" w:ascii="Times New Roman" w:hAnsi="Times New Roman" w:eastAsia="方正仿宋简体" w:cs="方正仿宋简体"/>
          <w:bCs/>
          <w:sz w:val="32"/>
          <w:szCs w:val="28"/>
          <w:lang w:val="en-US"/>
        </w:rPr>
        <w:t>、产值经济贡献、就业承载能力、政策扶持力度、未来成长空间五大核心评价维度，对照</w:t>
      </w:r>
      <w:bookmarkStart w:id="297" w:name="OLE_LINK167"/>
      <w:r>
        <w:rPr>
          <w:rFonts w:hint="eastAsia" w:ascii="Times New Roman" w:hAnsi="Times New Roman" w:eastAsia="方正仿宋简体" w:cs="方正仿宋简体"/>
          <w:bCs/>
          <w:sz w:val="32"/>
          <w:szCs w:val="28"/>
          <w:lang w:val="en-US"/>
        </w:rPr>
        <w:t>那曲</w:t>
      </w:r>
      <w:bookmarkEnd w:id="297"/>
      <w:r>
        <w:rPr>
          <w:rFonts w:hint="eastAsia" w:ascii="Times New Roman" w:hAnsi="Times New Roman" w:eastAsia="方正仿宋简体" w:cs="方正仿宋简体"/>
          <w:bCs/>
          <w:sz w:val="32"/>
          <w:szCs w:val="28"/>
          <w:lang w:val="en-US"/>
        </w:rPr>
        <w:t>潜力产业判定标准，</w:t>
      </w:r>
      <w:r>
        <w:rPr>
          <w:rFonts w:hint="eastAsia" w:ascii="Times New Roman" w:hAnsi="Times New Roman" w:eastAsia="方正仿宋简体" w:cs="方正仿宋简体"/>
          <w:bCs/>
          <w:sz w:val="32"/>
          <w:szCs w:val="28"/>
          <w:lang w:val="en-US" w:eastAsia="zh-CN"/>
        </w:rPr>
        <w:t>那曲市</w:t>
      </w:r>
      <w:r>
        <w:rPr>
          <w:rFonts w:hint="eastAsia" w:ascii="Times New Roman" w:hAnsi="Times New Roman" w:eastAsia="方正仿宋简体" w:cs="方正仿宋简体"/>
          <w:bCs/>
          <w:sz w:val="32"/>
          <w:szCs w:val="28"/>
          <w:lang w:val="en-US"/>
        </w:rPr>
        <w:t>天然饮用</w:t>
      </w:r>
      <w:r>
        <w:rPr>
          <w:rFonts w:hint="eastAsia" w:ascii="Times New Roman" w:hAnsi="Times New Roman" w:eastAsia="方正仿宋简体" w:cs="方正仿宋简体"/>
          <w:bCs/>
          <w:sz w:val="32"/>
          <w:szCs w:val="28"/>
          <w:lang w:val="en-US" w:eastAsia="zh-CN"/>
        </w:rPr>
        <w:t>水产业依托世界级稀缺极地水源、多级专项政策赋能、百亿级增量市场空间三重核心优势，</w:t>
      </w:r>
      <w:r>
        <w:rPr>
          <w:rFonts w:hint="eastAsia" w:ascii="Times New Roman" w:hAnsi="Times New Roman" w:eastAsia="方正仿宋简体" w:cs="方正仿宋简体"/>
          <w:bCs/>
          <w:sz w:val="32"/>
          <w:szCs w:val="28"/>
          <w:lang w:val="en-US"/>
        </w:rPr>
        <w:t>资源壁垒独特、发展动能充沛、</w:t>
      </w:r>
      <w:r>
        <w:rPr>
          <w:rFonts w:hint="eastAsia" w:ascii="Times New Roman" w:hAnsi="Times New Roman" w:eastAsia="方正仿宋简体" w:cs="方正仿宋简体"/>
          <w:bCs/>
          <w:sz w:val="32"/>
          <w:szCs w:val="28"/>
          <w:lang w:val="en-US" w:eastAsia="zh-CN"/>
        </w:rPr>
        <w:t>产业成长性突出</w:t>
      </w:r>
      <w:r>
        <w:rPr>
          <w:rFonts w:hint="eastAsia" w:ascii="Times New Roman" w:hAnsi="Times New Roman" w:eastAsia="方正仿宋简体" w:cs="方正仿宋简体"/>
          <w:bCs/>
          <w:sz w:val="32"/>
          <w:szCs w:val="28"/>
          <w:lang w:val="en-US"/>
        </w:rPr>
        <w:t>。当前产业已完成龙头企业落地、产能布局成型、物流配套完善的阶段性基础建设，但产业集群效应、规模化经济体量、市场品牌占有率仍处于培育起步阶段，暂未形成支柱支撑能力，具备由特色潜力产业向战略性支柱产业迭代进阶的坚实基础与清晰路径，是全市重点</w:t>
      </w:r>
      <w:r>
        <w:rPr>
          <w:rFonts w:hint="eastAsia" w:ascii="Times New Roman" w:hAnsi="Times New Roman" w:eastAsia="方正仿宋简体" w:cs="方正仿宋简体"/>
          <w:bCs/>
          <w:sz w:val="32"/>
          <w:szCs w:val="28"/>
          <w:lang w:val="en-US" w:eastAsia="zh-CN"/>
        </w:rPr>
        <w:t>培育的潜在支柱产业。</w:t>
      </w:r>
    </w:p>
    <w:p w14:paraId="0C76A518">
      <w:pPr>
        <w:spacing w:line="576" w:lineRule="exact"/>
        <w:ind w:firstLine="640" w:firstLineChars="200"/>
        <w:jc w:val="both"/>
        <w:outlineLvl w:val="2"/>
        <w:rPr>
          <w:rFonts w:ascii="Times New Roman" w:hAnsi="Times New Roman" w:eastAsia="方正仿宋简体" w:cs="方正仿宋简体"/>
          <w:bCs/>
          <w:sz w:val="32"/>
          <w:szCs w:val="28"/>
          <w:lang w:eastAsia="zh-CN"/>
        </w:rPr>
      </w:pPr>
      <w:bookmarkStart w:id="298" w:name="_Toc243241498"/>
      <w:r>
        <w:rPr>
          <w:rFonts w:hint="eastAsia" w:ascii="Times New Roman" w:hAnsi="Times New Roman" w:eastAsia="方正仿宋简体" w:cs="方正仿宋简体"/>
          <w:bCs/>
          <w:sz w:val="32"/>
          <w:szCs w:val="28"/>
          <w:lang w:eastAsia="zh-CN"/>
        </w:rPr>
        <w:t>1．产业基础条件稀缺独特，资源禀赋壁垒不可复制</w:t>
      </w:r>
      <w:bookmarkEnd w:id="298"/>
    </w:p>
    <w:p w14:paraId="3EA83EFE">
      <w:pPr>
        <w:spacing w:line="576" w:lineRule="exact"/>
        <w:ind w:firstLine="640" w:firstLineChars="200"/>
        <w:jc w:val="both"/>
        <w:rPr>
          <w:rFonts w:ascii="Times New Roman" w:hAnsi="Times New Roman" w:eastAsia="方正仿宋简体" w:cs="方正仿宋简体"/>
          <w:bCs/>
          <w:sz w:val="32"/>
          <w:szCs w:val="28"/>
          <w:lang w:val="en-US" w:eastAsia="zh-CN"/>
        </w:rPr>
      </w:pPr>
      <w:bookmarkStart w:id="299" w:name="OLE_LINK152"/>
      <w:r>
        <w:rPr>
          <w:rFonts w:hint="eastAsia" w:ascii="Times New Roman" w:hAnsi="Times New Roman" w:eastAsia="方正仿宋简体" w:cs="方正仿宋简体"/>
          <w:bCs/>
          <w:sz w:val="32"/>
          <w:szCs w:val="28"/>
          <w:lang w:val="en-US" w:eastAsia="zh-CN"/>
        </w:rPr>
        <w:t>那曲市</w:t>
      </w:r>
      <w:r>
        <w:rPr>
          <w:rFonts w:hint="eastAsia" w:ascii="Times New Roman" w:hAnsi="Times New Roman" w:eastAsia="方正仿宋简体" w:cs="方正仿宋简体"/>
          <w:bCs/>
          <w:sz w:val="32"/>
          <w:szCs w:val="28"/>
          <w:lang w:val="en-US"/>
        </w:rPr>
        <w:t>坐拥“江河源”“高原水库”核心生态禀赋，是国家生态安全屏障核心区域，境内分布3000余个高原湖泊，涵盖长江、怒江等大江源头水系，冰川融水、深层地下水资源储量充沛，全域平均海拔4500米以上，人口密度极低、工业污染趋近于零，原生态基底纯净度位居全国前列。水源天然具备水龄悠长、弱碱性、小分子团、低钠低矿化度等优质特质，富含偏硅酸、锂、锶、硒等多种人体有益微量元素，精准匹配国内高端健康饮用水消费升级趋势。</w:t>
      </w:r>
      <w:bookmarkStart w:id="300" w:name="OLE_LINK151"/>
      <w:r>
        <w:rPr>
          <w:rFonts w:ascii="Times New Roman" w:hAnsi="Times New Roman" w:eastAsia="方正仿宋简体" w:cs="方正仿宋简体"/>
          <w:sz w:val="32"/>
          <w:szCs w:val="32"/>
          <w:lang w:val="en-US"/>
        </w:rPr>
        <w:t>比如县夏曲卡锂锶型天然矿泉水、申扎县念青唐古拉北麓冰川山泉</w:t>
      </w:r>
      <w:bookmarkEnd w:id="300"/>
      <w:r>
        <w:rPr>
          <w:rFonts w:ascii="Times New Roman" w:hAnsi="Times New Roman" w:eastAsia="方正仿宋简体" w:cs="方正仿宋简体"/>
          <w:sz w:val="32"/>
          <w:szCs w:val="32"/>
          <w:lang w:val="en-US"/>
        </w:rPr>
        <w:t>、</w:t>
      </w:r>
      <w:r>
        <w:rPr>
          <w:rFonts w:hint="eastAsia" w:ascii="Times New Roman" w:hAnsi="Times New Roman" w:eastAsia="方正仿宋简体" w:cs="方正仿宋简体"/>
          <w:sz w:val="32"/>
          <w:szCs w:val="32"/>
          <w:lang w:val="en-US"/>
        </w:rPr>
        <w:t>班</w:t>
      </w:r>
      <w:r>
        <w:rPr>
          <w:rFonts w:hint="eastAsia" w:ascii="Times New Roman" w:hAnsi="Times New Roman" w:eastAsia="方正仿宋简体" w:cs="方正仿宋简体"/>
          <w:bCs/>
          <w:sz w:val="32"/>
          <w:szCs w:val="28"/>
          <w:lang w:val="en-US"/>
        </w:rPr>
        <w:t>戈县青龙</w:t>
      </w:r>
      <w:r>
        <w:rPr>
          <w:rFonts w:hint="eastAsia" w:ascii="Times New Roman" w:hAnsi="Times New Roman" w:eastAsia="方正仿宋简体" w:cs="方正仿宋简体"/>
          <w:bCs/>
          <w:sz w:val="32"/>
          <w:szCs w:val="28"/>
          <w:lang w:val="en-US" w:eastAsia="zh-CN"/>
        </w:rPr>
        <w:t>乡</w:t>
      </w:r>
      <w:r>
        <w:rPr>
          <w:rFonts w:hint="eastAsia" w:ascii="Times New Roman" w:hAnsi="Times New Roman" w:eastAsia="方正仿宋简体" w:cs="方正仿宋简体"/>
          <w:bCs/>
          <w:sz w:val="32"/>
          <w:szCs w:val="28"/>
          <w:lang w:val="en-US"/>
        </w:rPr>
        <w:t>天然苏打水等多处优质水源，禀赋各具特色，形成差异化高端产品竞争壁垒。</w:t>
      </w:r>
      <w:bookmarkEnd w:id="299"/>
      <w:r>
        <w:rPr>
          <w:rFonts w:hint="eastAsia" w:ascii="Times New Roman" w:hAnsi="Times New Roman" w:eastAsia="方正仿宋简体" w:cs="方正仿宋简体"/>
          <w:bCs/>
          <w:sz w:val="32"/>
          <w:szCs w:val="28"/>
          <w:lang w:val="en-US"/>
        </w:rPr>
        <w:t>按照自治区产业布局规划，那曲重点依托“一塔四源”优质水源地集群布局，全域天然饮用水设计产能超500万吨，规模化、集群化开发硬件基底坚实。同时，依托青藏铁路、</w:t>
      </w:r>
      <w:r>
        <w:rPr>
          <w:rFonts w:hint="eastAsia" w:ascii="Times New Roman" w:hAnsi="Times New Roman" w:eastAsia="方正仿宋简体" w:cs="方正仿宋简体"/>
          <w:bCs/>
          <w:sz w:val="32"/>
          <w:szCs w:val="28"/>
          <w:lang w:val="en-US" w:eastAsia="zh-CN"/>
        </w:rPr>
        <w:t>G</w:t>
      </w:r>
      <w:r>
        <w:rPr>
          <w:rFonts w:hint="eastAsia" w:ascii="Times New Roman" w:hAnsi="Times New Roman" w:eastAsia="方正仿宋简体" w:cs="方正仿宋简体"/>
          <w:bCs/>
          <w:sz w:val="32"/>
          <w:szCs w:val="28"/>
          <w:lang w:val="en-US"/>
        </w:rPr>
        <w:t>317、</w:t>
      </w:r>
      <w:r>
        <w:rPr>
          <w:rFonts w:hint="eastAsia" w:ascii="Times New Roman" w:hAnsi="Times New Roman" w:eastAsia="方正仿宋简体" w:cs="方正仿宋简体"/>
          <w:bCs/>
          <w:sz w:val="32"/>
          <w:szCs w:val="28"/>
          <w:lang w:val="en-US" w:eastAsia="zh-CN"/>
        </w:rPr>
        <w:t>G</w:t>
      </w:r>
      <w:r>
        <w:rPr>
          <w:rFonts w:hint="eastAsia" w:ascii="Times New Roman" w:hAnsi="Times New Roman" w:eastAsia="方正仿宋简体" w:cs="方正仿宋简体"/>
          <w:bCs/>
          <w:sz w:val="32"/>
          <w:szCs w:val="28"/>
          <w:lang w:val="en-US"/>
        </w:rPr>
        <w:t>318主干交通路网，叠加藏北核心物流仓储配送中心持续扩容升级，水源开采、生产加工、仓储外运全链条配套持续完善，以稀缺生态、优质水质、充足产能、便捷区位构筑形成不可复制的产业核心壁垒。</w:t>
      </w:r>
    </w:p>
    <w:p w14:paraId="578575BB">
      <w:pPr>
        <w:spacing w:line="576" w:lineRule="exact"/>
        <w:ind w:firstLine="640" w:firstLineChars="200"/>
        <w:jc w:val="both"/>
        <w:outlineLvl w:val="2"/>
        <w:rPr>
          <w:rFonts w:ascii="Times New Roman" w:hAnsi="Times New Roman" w:eastAsia="方正仿宋简体" w:cs="方正仿宋简体"/>
          <w:bCs/>
          <w:sz w:val="32"/>
          <w:szCs w:val="28"/>
          <w:lang w:eastAsia="zh-CN"/>
        </w:rPr>
      </w:pPr>
      <w:bookmarkStart w:id="301" w:name="_Toc243241499"/>
      <w:r>
        <w:rPr>
          <w:rFonts w:hint="eastAsia" w:ascii="Times New Roman" w:hAnsi="Times New Roman" w:eastAsia="方正仿宋简体" w:cs="方正仿宋简体"/>
          <w:bCs/>
          <w:sz w:val="32"/>
          <w:szCs w:val="28"/>
          <w:lang w:eastAsia="zh-CN"/>
        </w:rPr>
        <w:t>2．产值经济贡献稳步培育，增量成长动能持续积蓄</w:t>
      </w:r>
      <w:bookmarkEnd w:id="301"/>
    </w:p>
    <w:p w14:paraId="36027082">
      <w:pPr>
        <w:spacing w:line="576" w:lineRule="exact"/>
        <w:ind w:firstLine="640" w:firstLineChars="200"/>
        <w:jc w:val="both"/>
        <w:rPr>
          <w:rFonts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当前那曲市天然饮用水产业整体处于培育起步、加速起势阶段，产业体量、财税贡献仍处于积累提升期，暂未形成规模化经济支撑效应，但产业增长势能持续释放、增量空间极为广阔。品牌层面，深度借力“西藏好水”省级公共品牌赋能，持续开发高端功能水、极地文创定制水等增值业态，产品溢价能力稳步提升。企业层面，成功引入农夫山泉、西藏初源水业等行业龙头落地投产，高海拔适配型智能化生产线、标准化净水工艺全面应用，产品加工合格率、生产精细化水平大幅提升，辖区新建智能化水厂投产首月桶装水销量突破2万桶，市场落地成效显著。那曲作为藏北核心生产基地，产业整体产值规模有望突破亿元大关，逐步成长为那曲经济全新增量增长极。</w:t>
      </w:r>
    </w:p>
    <w:p w14:paraId="16A30272">
      <w:pPr>
        <w:spacing w:line="576" w:lineRule="exact"/>
        <w:ind w:firstLine="640" w:firstLineChars="200"/>
        <w:jc w:val="both"/>
        <w:outlineLvl w:val="2"/>
        <w:rPr>
          <w:rFonts w:ascii="Times New Roman" w:hAnsi="Times New Roman" w:eastAsia="方正仿宋简体" w:cs="方正仿宋简体"/>
          <w:bCs/>
          <w:sz w:val="32"/>
          <w:szCs w:val="28"/>
          <w:lang w:val="en-US" w:eastAsia="zh-CN"/>
        </w:rPr>
      </w:pPr>
      <w:bookmarkStart w:id="302" w:name="_Toc243241500"/>
      <w:r>
        <w:rPr>
          <w:rFonts w:hint="eastAsia" w:ascii="Times New Roman" w:hAnsi="Times New Roman" w:eastAsia="方正仿宋简体" w:cs="方正仿宋简体"/>
          <w:bCs/>
          <w:sz w:val="32"/>
          <w:szCs w:val="28"/>
          <w:lang w:eastAsia="zh-CN"/>
        </w:rPr>
        <w:t>3．就业承载空间广阔，富民带动潜力持续释放</w:t>
      </w:r>
      <w:bookmarkEnd w:id="302"/>
    </w:p>
    <w:p w14:paraId="06A19361">
      <w:pPr>
        <w:spacing w:line="576" w:lineRule="exact"/>
        <w:ind w:firstLine="640" w:firstLineChars="200"/>
        <w:jc w:val="both"/>
        <w:rPr>
          <w:rFonts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天然饮用水产业链条完整、配套业态丰富、本地化适配性强，可有效联动水源勘察保护、智能化生产加工、包装耗材制造、仓储物流外运、文旅文创定制、终端市场销售等上下游产业协同发展，多层次吸纳本地劳动力就业创业。现阶段产业就业带动效能稳步释放，辖区投产水厂积极吸纳本地务工人员、返乡大学生稳定就业，落实社保参保保障，实现群众“就近务工、顾家增收”双向赋能。随着全域500万吨设计产能逐步释放、重点项目迭代落地、文旅融合业态持续延伸，将持续创造生产运维、工艺技术、质量检测、物流配送、品牌营销、文创开发等常态化本地化就业岗位，持续拓宽农牧民多元增收渠道。同时，产业坚持生态优先、绿色开发模式，实现水源保护、产业发展、群众增收有机统一，长效助力乡村振兴与绿色低碳发展。</w:t>
      </w:r>
    </w:p>
    <w:p w14:paraId="7F9F9A0B">
      <w:pPr>
        <w:spacing w:line="576" w:lineRule="exact"/>
        <w:ind w:firstLine="640" w:firstLineChars="200"/>
        <w:jc w:val="both"/>
        <w:outlineLvl w:val="2"/>
        <w:rPr>
          <w:rFonts w:ascii="Times New Roman" w:hAnsi="Times New Roman" w:eastAsia="方正仿宋简体" w:cs="方正仿宋简体"/>
          <w:bCs/>
          <w:sz w:val="32"/>
          <w:szCs w:val="28"/>
          <w:lang w:val="en-US" w:eastAsia="zh-CN"/>
        </w:rPr>
      </w:pPr>
      <w:bookmarkStart w:id="303" w:name="_Toc243241501"/>
      <w:r>
        <w:rPr>
          <w:rFonts w:hint="eastAsia" w:ascii="Times New Roman" w:hAnsi="Times New Roman" w:eastAsia="方正仿宋简体" w:cs="方正仿宋简体"/>
          <w:bCs/>
          <w:sz w:val="32"/>
          <w:szCs w:val="28"/>
          <w:lang w:val="en-US" w:eastAsia="zh-CN"/>
        </w:rPr>
        <w:t>4</w:t>
      </w:r>
      <w:r>
        <w:rPr>
          <w:rFonts w:hint="eastAsia" w:ascii="Times New Roman" w:hAnsi="Times New Roman" w:eastAsia="方正仿宋简体" w:cs="方正仿宋简体"/>
          <w:bCs/>
          <w:sz w:val="32"/>
          <w:szCs w:val="28"/>
          <w:lang w:eastAsia="zh-CN"/>
        </w:rPr>
        <w:t>．</w:t>
      </w:r>
      <w:r>
        <w:rPr>
          <w:rFonts w:hint="eastAsia" w:ascii="Times New Roman" w:hAnsi="Times New Roman" w:eastAsia="方正仿宋简体" w:cs="方正仿宋简体"/>
          <w:bCs/>
          <w:sz w:val="32"/>
          <w:szCs w:val="28"/>
          <w:lang w:val="en-US" w:eastAsia="zh-CN"/>
        </w:rPr>
        <w:t>政策扶持</w:t>
      </w:r>
      <w:r>
        <w:rPr>
          <w:rFonts w:hint="eastAsia" w:ascii="Times New Roman" w:hAnsi="Times New Roman" w:eastAsia="方正仿宋简体" w:cs="方正仿宋简体"/>
          <w:bCs/>
          <w:sz w:val="32"/>
          <w:szCs w:val="28"/>
          <w:lang w:eastAsia="zh-CN"/>
        </w:rPr>
        <w:t>体系</w:t>
      </w:r>
      <w:r>
        <w:rPr>
          <w:rFonts w:hint="eastAsia" w:ascii="Times New Roman" w:hAnsi="Times New Roman" w:eastAsia="方正仿宋简体" w:cs="方正仿宋简体"/>
          <w:bCs/>
          <w:sz w:val="32"/>
          <w:szCs w:val="28"/>
          <w:lang w:val="en-US" w:eastAsia="zh-CN"/>
        </w:rPr>
        <w:t>多层联动，产业培育赋能精准有力</w:t>
      </w:r>
      <w:bookmarkEnd w:id="303"/>
    </w:p>
    <w:p w14:paraId="28E5A5D6">
      <w:pPr>
        <w:spacing w:line="576" w:lineRule="exact"/>
        <w:ind w:firstLine="640" w:firstLineChars="200"/>
        <w:jc w:val="both"/>
        <w:rPr>
          <w:rFonts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天然饮用水产业是西藏自治区重点布局的特色战略产业，纳入全区天然</w:t>
      </w:r>
      <w:r>
        <w:rPr>
          <w:rFonts w:hint="eastAsia" w:ascii="Times New Roman" w:hAnsi="Times New Roman" w:eastAsia="方正仿宋简体" w:cs="方正仿宋简体"/>
          <w:bCs/>
          <w:sz w:val="32"/>
          <w:szCs w:val="28"/>
          <w:lang w:val="en-US"/>
        </w:rPr>
        <w:t>饮用</w:t>
      </w:r>
      <w:r>
        <w:rPr>
          <w:rFonts w:hint="eastAsia" w:ascii="Times New Roman" w:hAnsi="Times New Roman" w:eastAsia="方正仿宋简体" w:cs="方正仿宋简体"/>
          <w:bCs/>
          <w:sz w:val="32"/>
          <w:szCs w:val="28"/>
          <w:lang w:val="en-US" w:eastAsia="zh-CN"/>
        </w:rPr>
        <w:t>水产业中长期核心发展体系，先后出台《</w:t>
      </w:r>
      <w:bookmarkStart w:id="304" w:name="OLE_LINK174"/>
      <w:r>
        <w:rPr>
          <w:rFonts w:hint="eastAsia" w:ascii="Times New Roman" w:hAnsi="Times New Roman" w:eastAsia="方正仿宋简体" w:cs="方正仿宋简体"/>
          <w:bCs/>
          <w:sz w:val="32"/>
          <w:szCs w:val="28"/>
          <w:lang w:val="en-US" w:eastAsia="zh-CN"/>
        </w:rPr>
        <w:t>西藏自治区</w:t>
      </w:r>
      <w:bookmarkEnd w:id="304"/>
      <w:r>
        <w:rPr>
          <w:rFonts w:hint="eastAsia" w:ascii="Times New Roman" w:hAnsi="Times New Roman" w:eastAsia="方正仿宋简体" w:cs="方正仿宋简体"/>
          <w:bCs/>
          <w:sz w:val="32"/>
          <w:szCs w:val="28"/>
          <w:lang w:val="en-US" w:eastAsia="zh-CN"/>
        </w:rPr>
        <w:t>天然饮用水产业发展规划（2015-2025年）》《西藏自治区天然饮用水产业链发展工作方案（2023-2025年）》等专项纲领性文件，明确百亿级产业发展目标，通过落实出藏运费专项补贴、企业数字化智能化改造扶持、精准招商引资、产业链补链强链等硬核举措，全方位赋能产业提质升级、拓面增效。同时，自治区统筹对接京东、阿里巴巴、抖音等主流电商平台，引导商超、景区、机关单位优先采购区内饮用水，持续拓宽内外销市场。市级层面同步将产业纳入“十五五”科技创新与特色产业重点规划，常态化开展优质水源勘察、生态环境动态监测、高海拔加工技术研发攻关，聚力打造藏北水产业物流集散中心，推动饮用水产业与文旅产业深度融合，构建形成国家战略引领、自治区专项赋能、市级落地推进的多级联动政策扶持体系，为产业规范化、规模化、品牌化高质量发展筑牢制度保障。</w:t>
      </w:r>
    </w:p>
    <w:p w14:paraId="0D17D6BE">
      <w:pPr>
        <w:spacing w:line="576" w:lineRule="exact"/>
        <w:ind w:firstLine="640" w:firstLineChars="200"/>
        <w:jc w:val="both"/>
        <w:outlineLvl w:val="2"/>
        <w:rPr>
          <w:rFonts w:hint="eastAsia" w:ascii="Times New Roman" w:hAnsi="Times New Roman" w:eastAsia="方正仿宋简体" w:cs="方正仿宋简体"/>
          <w:bCs/>
          <w:sz w:val="32"/>
          <w:szCs w:val="28"/>
          <w:lang w:val="en-US" w:eastAsia="zh-CN"/>
        </w:rPr>
      </w:pPr>
      <w:bookmarkStart w:id="305" w:name="_Toc243241502"/>
      <w:r>
        <w:rPr>
          <w:rFonts w:hint="eastAsia" w:ascii="Times New Roman" w:hAnsi="Times New Roman" w:eastAsia="方正仿宋简体" w:cs="方正仿宋简体"/>
          <w:bCs/>
          <w:sz w:val="32"/>
          <w:szCs w:val="28"/>
          <w:lang w:val="en-US" w:eastAsia="zh-CN"/>
        </w:rPr>
        <w:t>5</w:t>
      </w:r>
      <w:r>
        <w:rPr>
          <w:rFonts w:hint="eastAsia" w:ascii="Times New Roman" w:hAnsi="Times New Roman" w:eastAsia="方正仿宋简体" w:cs="方正仿宋简体"/>
          <w:bCs/>
          <w:sz w:val="32"/>
          <w:szCs w:val="28"/>
          <w:lang w:eastAsia="zh-CN"/>
        </w:rPr>
        <w:t>．</w:t>
      </w:r>
      <w:r>
        <w:rPr>
          <w:rFonts w:hint="eastAsia" w:ascii="Times New Roman" w:hAnsi="Times New Roman" w:eastAsia="方正仿宋简体" w:cs="方正仿宋简体"/>
          <w:bCs/>
          <w:sz w:val="32"/>
          <w:szCs w:val="28"/>
          <w:lang w:val="en-US" w:eastAsia="zh-CN"/>
        </w:rPr>
        <w:t>未来成长空间纵深充足，产业迭代进阶路径清晰</w:t>
      </w:r>
      <w:bookmarkEnd w:id="305"/>
    </w:p>
    <w:p w14:paraId="6695DBE3">
      <w:pPr>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当前产业虽存在高海拔区域设备运维成本偏高、初期产能利用率不足、产业集群尚未成型、本土龙头企业规模偏小等阶段性短板，但随着高海拔生产</w:t>
      </w:r>
      <w:r>
        <w:rPr>
          <w:rFonts w:hint="eastAsia" w:ascii="Times New Roman" w:hAnsi="Times New Roman" w:eastAsia="方正仿宋简体" w:cs="方正仿宋简体"/>
          <w:bCs/>
          <w:sz w:val="32"/>
          <w:szCs w:val="28"/>
          <w:lang w:val="en-US"/>
        </w:rPr>
        <w:t>工艺</w:t>
      </w:r>
      <w:r>
        <w:rPr>
          <w:rFonts w:hint="eastAsia" w:ascii="Times New Roman" w:hAnsi="Times New Roman" w:eastAsia="方正仿宋简体" w:cs="方正仿宋简体"/>
          <w:bCs/>
          <w:sz w:val="32"/>
          <w:szCs w:val="28"/>
          <w:lang w:val="en-US" w:eastAsia="zh-CN"/>
        </w:rPr>
        <w:t>持续优化、交通物流基建不断完善、数字化智能化改造深度推进，产业发展瓶颈将逐步破解。从市场维度看，全国高端功能性、原生态饮用水消费持续升级，“极地零污染、高活性、富微量元素”的那曲水源辨识度、市场溢价能力持续凸显，可精准切入中高端饮用水、功能康养水、文旅定制水、高端礼赠水等优质细分赛道，市场扩容空间充足。从产业协同维度看，可深度联动清洁能源、特色文旅、绿色矿业等那曲优势产业，推进光伏绿色制水、极地水源IP文创赋能、工业配套供水等多业态协同发展，持续延伸产业链、提升价值链、完善供应链。</w:t>
      </w:r>
      <w:bookmarkStart w:id="306" w:name="OLE_LINK176"/>
      <w:r>
        <w:rPr>
          <w:rFonts w:hint="eastAsia" w:ascii="Times New Roman" w:hAnsi="Times New Roman" w:eastAsia="方正仿宋简体" w:cs="方正仿宋简体"/>
          <w:bCs/>
          <w:sz w:val="32"/>
          <w:szCs w:val="28"/>
          <w:lang w:eastAsia="zh-CN"/>
        </w:rPr>
        <w:t>长远来看，依托境内多处优质水源资源潜力、远期百亿级产业发展愿景、多层级政策红利加持，产业资源优势、政策优势、“极地好水（那水）”品牌优势将加速转化为核心竞争优势，具备稳步成长为继畜牧、清洁能源、文旅之后第四大支柱产业的巨大潜力。</w:t>
      </w:r>
      <w:bookmarkEnd w:id="306"/>
    </w:p>
    <w:p w14:paraId="1E217B65">
      <w:pPr>
        <w:spacing w:line="576" w:lineRule="exact"/>
        <w:ind w:firstLine="640" w:firstLineChars="200"/>
        <w:jc w:val="both"/>
        <w:rPr>
          <w:rFonts w:ascii="Times New Roman" w:hAnsi="Times New Roman" w:eastAsia="方正仿宋简体" w:cs="方正仿宋简体"/>
          <w:bCs/>
          <w:sz w:val="32"/>
          <w:szCs w:val="28"/>
          <w:lang w:eastAsia="zh-CN"/>
        </w:rPr>
      </w:pPr>
      <w:bookmarkStart w:id="307" w:name="OLE_LINK177"/>
      <w:r>
        <w:rPr>
          <w:rFonts w:ascii="Times New Roman" w:hAnsi="Times New Roman" w:eastAsia="方正仿宋简体" w:cs="方正仿宋简体"/>
          <w:bCs/>
          <w:sz w:val="32"/>
          <w:szCs w:val="28"/>
          <w:lang w:eastAsia="zh-CN"/>
        </w:rPr>
        <w:t>综上，那曲市天然饮用水产业拥有世界级极地水源禀赋、可观的水源开发潜力、远期百亿级市场增量空间、多层级政策强力赋能、多产业协同联动五重核心优势。产业当前尚处于培育提升阶段，产业集聚效应和规模化经济贡献还未充分释放，但整体发展势头强劲、成长潜力巨大、发展路径清晰，是推动那曲特色产业迭代升级、培育全新经济增长极的核心潜力产业，远期具备成长为全市战略性支柱产业的良好条件。</w:t>
      </w:r>
    </w:p>
    <w:bookmarkEnd w:id="296"/>
    <w:bookmarkEnd w:id="307"/>
    <w:p w14:paraId="058782B3">
      <w:pPr>
        <w:pStyle w:val="8"/>
        <w:overflowPunct w:val="0"/>
        <w:topLinePunct/>
        <w:autoSpaceDE/>
        <w:autoSpaceDN/>
        <w:spacing w:before="0" w:line="576" w:lineRule="exact"/>
        <w:ind w:left="0" w:firstLine="640" w:firstLineChars="200"/>
        <w:jc w:val="both"/>
        <w:outlineLvl w:val="1"/>
        <w:rPr>
          <w:rFonts w:ascii="Times New Roman" w:hAnsi="Times New Roman" w:eastAsia="方正仿宋简体" w:cs="方正仿宋简体"/>
          <w:bCs/>
          <w:sz w:val="32"/>
          <w:szCs w:val="28"/>
        </w:rPr>
      </w:pPr>
      <w:bookmarkStart w:id="308" w:name="_Toc243241503"/>
      <w:bookmarkStart w:id="309" w:name="_Toc218422270"/>
      <w:bookmarkStart w:id="310" w:name="_Hlk214049866"/>
      <w:r>
        <w:rPr>
          <w:rFonts w:hint="eastAsia" w:ascii="Times New Roman" w:hAnsi="Times New Roman" w:eastAsia="方正楷体简体" w:cs="方正仿宋简体"/>
          <w:sz w:val="32"/>
          <w:szCs w:val="32"/>
        </w:rPr>
        <w:t>（二）绿色矿产业</w:t>
      </w:r>
      <w:bookmarkEnd w:id="308"/>
      <w:bookmarkEnd w:id="309"/>
    </w:p>
    <w:bookmarkEnd w:id="310"/>
    <w:p w14:paraId="3AADB890">
      <w:pPr>
        <w:spacing w:line="576" w:lineRule="exact"/>
        <w:ind w:firstLine="640" w:firstLineChars="200"/>
        <w:jc w:val="both"/>
        <w:rPr>
          <w:rFonts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那曲市绿色矿产业依托独特的战略矿产禀赋、低碳开发协同优势、多层级专项政策赋能、新能源新材料广阔赛道，资源稀缺性突出、产业成长性极强、迭代空间纵深充足。当前产业整体处于勘探试验、起步蓄力阶段，规模化产能、产业集群体量、稳定财税贡献尚未完全形成，暂不具备全域支柱支撑能力，但产业基础扎实、赛道前景广阔、进阶路径清晰，是全市重点培育的战略性潜力产业，未来有望成长为继生态畜牧、清洁能源、特色文旅、天然饮用水之后的第五大支柱产业。</w:t>
      </w:r>
    </w:p>
    <w:p w14:paraId="358E343F">
      <w:pPr>
        <w:pStyle w:val="29"/>
        <w:spacing w:line="576" w:lineRule="exact"/>
        <w:ind w:left="1003" w:hanging="360"/>
        <w:jc w:val="both"/>
        <w:outlineLvl w:val="2"/>
        <w:rPr>
          <w:rFonts w:ascii="Times New Roman" w:hAnsi="Times New Roman" w:eastAsia="方正仿宋简体" w:cs="方正仿宋简体"/>
          <w:bCs/>
          <w:sz w:val="32"/>
          <w:szCs w:val="28"/>
          <w:lang w:val="en-US" w:eastAsia="zh-CN"/>
        </w:rPr>
      </w:pPr>
      <w:bookmarkStart w:id="311" w:name="_Toc243241504"/>
      <w:r>
        <w:rPr>
          <w:rFonts w:hint="eastAsia" w:ascii="Times New Roman" w:hAnsi="Times New Roman" w:eastAsia="方正仿宋简体" w:cs="方正仿宋简体"/>
          <w:bCs/>
          <w:sz w:val="32"/>
          <w:szCs w:val="28"/>
          <w:lang w:val="en-US" w:eastAsia="zh-CN"/>
        </w:rPr>
        <w:t>1</w:t>
      </w:r>
      <w:r>
        <w:rPr>
          <w:rFonts w:hint="eastAsia" w:ascii="Times New Roman" w:hAnsi="Times New Roman" w:eastAsia="方正仿宋简体" w:cs="方正仿宋简体"/>
          <w:bCs/>
          <w:sz w:val="32"/>
          <w:szCs w:val="28"/>
          <w:lang w:eastAsia="zh-CN"/>
        </w:rPr>
        <w:t>．</w:t>
      </w:r>
      <w:r>
        <w:rPr>
          <w:rFonts w:hint="eastAsia" w:ascii="Times New Roman" w:hAnsi="Times New Roman" w:eastAsia="方正仿宋简体" w:cs="方正仿宋简体"/>
          <w:bCs/>
          <w:sz w:val="32"/>
          <w:szCs w:val="28"/>
          <w:lang w:val="en-US" w:eastAsia="zh-CN"/>
        </w:rPr>
        <w:t>产业基础条件禀赋优越，战略资源壁垒不可复制</w:t>
      </w:r>
      <w:bookmarkEnd w:id="311"/>
    </w:p>
    <w:p w14:paraId="2B7716C0">
      <w:pPr>
        <w:spacing w:line="576" w:lineRule="exact"/>
        <w:ind w:firstLine="640" w:firstLineChars="200"/>
        <w:jc w:val="both"/>
        <w:rPr>
          <w:rFonts w:ascii="Times New Roman" w:hAnsi="Times New Roman" w:eastAsia="方正仿宋简体" w:cs="方正仿宋简体"/>
          <w:bCs/>
          <w:sz w:val="32"/>
          <w:szCs w:val="28"/>
          <w:lang w:val="en-US" w:eastAsia="zh-CN"/>
        </w:rPr>
      </w:pPr>
      <w:bookmarkStart w:id="312" w:name="OLE_LINK178"/>
      <w:r>
        <w:rPr>
          <w:rFonts w:ascii="Times New Roman" w:hAnsi="Times New Roman" w:eastAsia="方正仿宋简体" w:cs="方正仿宋简体"/>
          <w:bCs/>
          <w:sz w:val="32"/>
          <w:szCs w:val="28"/>
          <w:lang w:eastAsia="zh-CN"/>
        </w:rPr>
        <w:t>那曲市主体位于羌塘成矿带，嘉黎县南部纳入国家级</w:t>
      </w:r>
      <w:bookmarkStart w:id="313" w:name="OLE_LINK179"/>
      <w:r>
        <w:rPr>
          <w:rFonts w:ascii="Times New Roman" w:hAnsi="Times New Roman" w:eastAsia="方正仿宋简体" w:cs="方正仿宋简体"/>
          <w:bCs/>
          <w:sz w:val="32"/>
          <w:szCs w:val="28"/>
          <w:lang w:eastAsia="zh-CN"/>
        </w:rPr>
        <w:t>金达</w:t>
      </w:r>
      <w:bookmarkEnd w:id="313"/>
      <w:r>
        <w:rPr>
          <w:rFonts w:ascii="Times New Roman" w:hAnsi="Times New Roman" w:eastAsia="方正仿宋简体" w:cs="方正仿宋简体"/>
          <w:bCs/>
          <w:sz w:val="32"/>
          <w:szCs w:val="28"/>
          <w:lang w:eastAsia="zh-CN"/>
        </w:rPr>
        <w:t>铅锌矿整装勘查区范围，是西藏战略性关键矿产富集重点片区，锂、铬、铜、铷、钨钼、水菱镁等稀缺矿种资源储量丰富、矿石品位优良，共伴生组分多，资源先天优势十分突出。</w:t>
      </w:r>
      <w:bookmarkEnd w:id="312"/>
      <w:r>
        <w:rPr>
          <w:rFonts w:hint="eastAsia" w:ascii="Times New Roman" w:hAnsi="Times New Roman" w:eastAsia="方正仿宋简体" w:cs="方正仿宋简体"/>
          <w:bCs/>
          <w:sz w:val="32"/>
          <w:szCs w:val="28"/>
          <w:lang w:val="en-US" w:eastAsia="zh-CN"/>
        </w:rPr>
        <w:t>其中，嘉黎县蒙亚啊多金属矿资源品质优异，锌品位达4.14%-4.90%、铅品位0.69%-2.99%、银品位10.09-35.00克/吨，整体处于行业高品位水平；申扎县铷矿推断资源量达超大型规模，钨钼矿达中型矿床规模，相较国内同类采矿权资源禀赋处于中上水平，具备大规模、高附加值综合开发条件；班戈县班嘎错、尼玛县当雄错盐湖富集锂、钾、硼等综合矿产，是新能源材料核心原料供给基地。那曲平均海拔4500米以上，生态保护红线面积占全市国土面积53.5%，全域管控标准极高、工业扰动极低，天然形成“极地零扰动、原生态绿色”的矿山开发基底</w:t>
      </w:r>
      <w:bookmarkStart w:id="314" w:name="OLE_LINK180"/>
      <w:r>
        <w:rPr>
          <w:rFonts w:hint="eastAsia" w:ascii="Times New Roman" w:hAnsi="Times New Roman" w:eastAsia="方正仿宋简体" w:cs="方正仿宋简体"/>
          <w:bCs/>
          <w:sz w:val="32"/>
          <w:szCs w:val="28"/>
          <w:lang w:val="en-US" w:eastAsia="zh-CN"/>
        </w:rPr>
        <w:t>，</w:t>
      </w:r>
      <w:bookmarkEnd w:id="314"/>
      <w:r>
        <w:rPr>
          <w:rFonts w:hint="eastAsia" w:ascii="Times New Roman" w:hAnsi="Times New Roman" w:eastAsia="方正仿宋简体" w:cs="方正仿宋简体"/>
          <w:bCs/>
          <w:sz w:val="32"/>
          <w:szCs w:val="28"/>
          <w:lang w:val="en-US" w:eastAsia="zh-CN"/>
        </w:rPr>
        <w:t>“极地绿色矿山”品牌辨识度、差异化壁垒独一无二。同时，风电、光伏清洁能源富集，可全面支撑矿产开采、选矿加工全流程低碳、零碳生产，绿色开发基础条件得天独厚。依托青藏铁路、G317、G318干线路网及那曲综合物流中心，矿产外运、设备进场、物资保障配套体系持续完善，为产业规模化、绿色化开发筑牢硬件支撑。</w:t>
      </w:r>
    </w:p>
    <w:p w14:paraId="12B090A1">
      <w:pPr>
        <w:spacing w:line="576" w:lineRule="exact"/>
        <w:ind w:firstLine="640" w:firstLineChars="200"/>
        <w:jc w:val="both"/>
        <w:outlineLvl w:val="2"/>
        <w:rPr>
          <w:rFonts w:ascii="Times New Roman" w:hAnsi="Times New Roman" w:eastAsia="方正仿宋简体" w:cs="方正仿宋简体"/>
          <w:bCs/>
          <w:sz w:val="32"/>
          <w:szCs w:val="28"/>
          <w:lang w:val="en-US" w:eastAsia="zh-CN"/>
        </w:rPr>
      </w:pPr>
      <w:bookmarkStart w:id="315" w:name="_Toc243241505"/>
      <w:r>
        <w:rPr>
          <w:rFonts w:hint="eastAsia" w:ascii="Times New Roman" w:hAnsi="Times New Roman" w:eastAsia="方正仿宋简体" w:cs="方正仿宋简体"/>
          <w:bCs/>
          <w:sz w:val="32"/>
          <w:szCs w:val="28"/>
          <w:lang w:val="en-US" w:eastAsia="zh-CN"/>
        </w:rPr>
        <w:t>2</w:t>
      </w:r>
      <w:r>
        <w:rPr>
          <w:rFonts w:hint="eastAsia" w:ascii="Times New Roman" w:hAnsi="Times New Roman" w:eastAsia="方正仿宋简体" w:cs="方正仿宋简体"/>
          <w:bCs/>
          <w:sz w:val="32"/>
          <w:szCs w:val="28"/>
          <w:lang w:eastAsia="zh-CN"/>
        </w:rPr>
        <w:t>．</w:t>
      </w:r>
      <w:r>
        <w:rPr>
          <w:rFonts w:hint="eastAsia" w:ascii="Times New Roman" w:hAnsi="Times New Roman" w:eastAsia="方正仿宋简体" w:cs="方正仿宋简体"/>
          <w:bCs/>
          <w:sz w:val="32"/>
          <w:szCs w:val="28"/>
          <w:lang w:val="en-US" w:eastAsia="zh-CN"/>
        </w:rPr>
        <w:t>产值经济贡献蓄势待发，增量成长空间极为广阔</w:t>
      </w:r>
      <w:bookmarkEnd w:id="315"/>
    </w:p>
    <w:p w14:paraId="1AA931E7">
      <w:pPr>
        <w:spacing w:line="576" w:lineRule="exact"/>
        <w:ind w:firstLine="640" w:firstLineChars="200"/>
        <w:jc w:val="both"/>
        <w:rPr>
          <w:rFonts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当前那曲市绿色矿产业仍处于前期勘探、</w:t>
      </w:r>
      <w:bookmarkStart w:id="316" w:name="OLE_LINK181"/>
      <w:r>
        <w:rPr>
          <w:rFonts w:hint="eastAsia" w:ascii="Times New Roman" w:hAnsi="Times New Roman" w:eastAsia="方正仿宋简体" w:cs="方正仿宋简体"/>
          <w:bCs/>
          <w:sz w:val="32"/>
          <w:szCs w:val="28"/>
          <w:lang w:val="en-US" w:eastAsia="zh-CN"/>
        </w:rPr>
        <w:t>小试中试</w:t>
      </w:r>
      <w:bookmarkEnd w:id="316"/>
      <w:r>
        <w:rPr>
          <w:rFonts w:hint="eastAsia" w:ascii="Times New Roman" w:hAnsi="Times New Roman" w:eastAsia="方正仿宋简体" w:cs="方正仿宋简体"/>
          <w:bCs/>
          <w:sz w:val="32"/>
          <w:szCs w:val="28"/>
          <w:lang w:val="en-US" w:eastAsia="zh-CN"/>
        </w:rPr>
        <w:t>的培育起步阶段，规模化产能尚未释放，产业总体经济体量、财税贡献仍在蓄力积累期，但中长期增长势能强劲、赛道增量充足。产业赛道精准契合全国新能源、新材料产业升级趋势，锂盐、镁基材料、锌基合金等产品市场需求持续旺盛，产品市场溢价空间持续扩大。现阶段产业培育成效稳步显现，智汇矿业蒙亚啊绿色矿山等重点项目有序投产，班嘎错盐湖综合开发利用项目核准积极推进，当雄错盐湖矿产综合开发前期工作扎实推进，高海拔绿色勘查、低碳开采、综合回收技术逐步成熟，产业落地基础持续夯实。根据产业发展研判，随着重点项目陆续投产达产、产业链逐步补齐延伸，同步带动多金属、水菱镁等关联产业集群发展，有望成为那曲实体经济全新增长极。</w:t>
      </w:r>
    </w:p>
    <w:p w14:paraId="67EC3458">
      <w:pPr>
        <w:spacing w:line="576" w:lineRule="exact"/>
        <w:ind w:firstLine="640" w:firstLineChars="200"/>
        <w:jc w:val="both"/>
        <w:outlineLvl w:val="2"/>
        <w:rPr>
          <w:rFonts w:ascii="Times New Roman" w:hAnsi="Times New Roman" w:eastAsia="方正仿宋简体" w:cs="方正仿宋简体"/>
          <w:bCs/>
          <w:sz w:val="32"/>
          <w:szCs w:val="28"/>
          <w:lang w:val="en-US" w:eastAsia="zh-CN"/>
        </w:rPr>
      </w:pPr>
      <w:bookmarkStart w:id="317" w:name="_Toc243241506"/>
      <w:r>
        <w:rPr>
          <w:rFonts w:hint="eastAsia" w:ascii="Times New Roman" w:hAnsi="Times New Roman" w:eastAsia="方正仿宋简体" w:cs="方正仿宋简体"/>
          <w:bCs/>
          <w:sz w:val="32"/>
          <w:szCs w:val="28"/>
          <w:lang w:val="en-US" w:eastAsia="zh-CN"/>
        </w:rPr>
        <w:t>3</w:t>
      </w:r>
      <w:r>
        <w:rPr>
          <w:rFonts w:hint="eastAsia" w:ascii="Times New Roman" w:hAnsi="Times New Roman" w:eastAsia="方正仿宋简体" w:cs="方正仿宋简体"/>
          <w:bCs/>
          <w:sz w:val="32"/>
          <w:szCs w:val="28"/>
          <w:lang w:eastAsia="zh-CN"/>
        </w:rPr>
        <w:t>．</w:t>
      </w:r>
      <w:r>
        <w:rPr>
          <w:rFonts w:hint="eastAsia" w:ascii="Times New Roman" w:hAnsi="Times New Roman" w:eastAsia="方正仿宋简体" w:cs="方正仿宋简体"/>
          <w:bCs/>
          <w:sz w:val="32"/>
          <w:szCs w:val="28"/>
          <w:lang w:val="en-US" w:eastAsia="zh-CN"/>
        </w:rPr>
        <w:t>就业承载层级丰富，富民惠民带动潜力巨大</w:t>
      </w:r>
      <w:bookmarkEnd w:id="317"/>
    </w:p>
    <w:p w14:paraId="6BA11478">
      <w:pPr>
        <w:spacing w:line="576" w:lineRule="exact"/>
        <w:ind w:firstLine="640" w:firstLineChars="200"/>
        <w:jc w:val="both"/>
        <w:rPr>
          <w:rFonts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绿色矿产业链条长、配套业态广、产业联动性强，可有效覆盖矿产勘查、绿色开采、选矿加工、资源综合利用、环保运维、物流运输、科普研学等全链条领域，能够多层次、广范围吸纳本地劳动力就业创业。现阶段产业以项目试点、前期建设为主，就业带动效能逐步释放，随着后续规模化开发、常态化生产、产业链本地化配套持续推进，将持续创造技术操作、生产运维、安全管理、生态修复、物流服务等稳定就业岗位，有效拓宽农牧民就地就近就业、技能增收渠道。同时，产业严格坚守生态优先、绿色开发底线，实现资源有序开发、生态有效保护、群众稳定增收的有机统一，在筑牢生态安全屏障、推动绿色低碳发展、助力乡村全面振兴方面具备长效赋能作用。</w:t>
      </w:r>
    </w:p>
    <w:p w14:paraId="1D9B2D24">
      <w:pPr>
        <w:spacing w:line="576" w:lineRule="exact"/>
        <w:ind w:firstLine="640" w:firstLineChars="200"/>
        <w:jc w:val="both"/>
        <w:outlineLvl w:val="2"/>
        <w:rPr>
          <w:rFonts w:ascii="Times New Roman" w:hAnsi="Times New Roman" w:eastAsia="方正仿宋简体" w:cs="方正仿宋简体"/>
          <w:bCs/>
          <w:sz w:val="32"/>
          <w:szCs w:val="28"/>
          <w:lang w:val="en-US" w:eastAsia="zh-CN"/>
        </w:rPr>
      </w:pPr>
      <w:bookmarkStart w:id="318" w:name="_Toc243241507"/>
      <w:r>
        <w:rPr>
          <w:rFonts w:hint="eastAsia" w:ascii="Times New Roman" w:hAnsi="Times New Roman" w:eastAsia="方正仿宋简体" w:cs="方正仿宋简体"/>
          <w:bCs/>
          <w:sz w:val="32"/>
          <w:szCs w:val="28"/>
          <w:lang w:val="en-US" w:eastAsia="zh-CN"/>
        </w:rPr>
        <w:t>4</w:t>
      </w:r>
      <w:r>
        <w:rPr>
          <w:rFonts w:hint="eastAsia" w:ascii="Times New Roman" w:hAnsi="Times New Roman" w:eastAsia="方正仿宋简体" w:cs="方正仿宋简体"/>
          <w:bCs/>
          <w:sz w:val="32"/>
          <w:szCs w:val="28"/>
          <w:lang w:eastAsia="zh-CN"/>
        </w:rPr>
        <w:t>．</w:t>
      </w:r>
      <w:r>
        <w:rPr>
          <w:rFonts w:hint="eastAsia" w:ascii="Times New Roman" w:hAnsi="Times New Roman" w:eastAsia="方正仿宋简体" w:cs="方正仿宋简体"/>
          <w:bCs/>
          <w:sz w:val="32"/>
          <w:szCs w:val="28"/>
          <w:lang w:val="en-US" w:eastAsia="zh-CN"/>
        </w:rPr>
        <w:t>政策扶持体系多层联动，绿色发展赋能精准有力</w:t>
      </w:r>
      <w:bookmarkEnd w:id="318"/>
    </w:p>
    <w:p w14:paraId="651F8722">
      <w:pPr>
        <w:spacing w:line="576" w:lineRule="exact"/>
        <w:ind w:firstLine="640" w:firstLineChars="200"/>
        <w:jc w:val="both"/>
        <w:rPr>
          <w:rFonts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绿色矿产业是自治区重点规范培育、提档升级的战略性特色产业，严格遵循“不合法不发展、不环保不发展、不安全不发展、不经济不发展”开发原则，构建形成国家引导、自治区统筹、市级落实的全链条政策保障体系。自治区层面2025年9月印发《西藏自治区进一步加强绿色矿山建设的若干措施》（藏政办发〔2025〕15号），明确时限要求，所有新建矿山投产后2年内、在产矿山5年内全面完成绿色矿山建设；同步落实硬核财税红利，对伴生矿、尾矿免征资源税，对低品位矿减征50%资源税，配套弹性用地、矿业权优先配置、绿色金融信贷、上市融资支持等专项举措，全方位降低绿色矿山建设运营成本。市级层面将绿色矿业纳入“十五五”新型工业化重点规划，持续推进全域找矿突破行动，聚力打造高原盐湖资源综合开发示范基地，专班推进班嘎错、当雄错等重点盐湖项目落地建设，为产业规范化、绿色化、有序化高质量发展提供坚实政策支撑。</w:t>
      </w:r>
    </w:p>
    <w:p w14:paraId="05900104">
      <w:pPr>
        <w:spacing w:line="576" w:lineRule="exact"/>
        <w:ind w:firstLine="640" w:firstLineChars="200"/>
        <w:jc w:val="both"/>
        <w:outlineLvl w:val="2"/>
        <w:rPr>
          <w:rFonts w:ascii="Times New Roman" w:hAnsi="Times New Roman" w:eastAsia="方正仿宋简体" w:cs="方正仿宋简体"/>
          <w:bCs/>
          <w:sz w:val="32"/>
          <w:szCs w:val="28"/>
          <w:lang w:val="en-US" w:eastAsia="zh-CN"/>
        </w:rPr>
      </w:pPr>
      <w:bookmarkStart w:id="319" w:name="_Toc243241508"/>
      <w:r>
        <w:rPr>
          <w:rFonts w:hint="eastAsia" w:ascii="Times New Roman" w:hAnsi="Times New Roman" w:eastAsia="方正仿宋简体" w:cs="方正仿宋简体"/>
          <w:bCs/>
          <w:sz w:val="32"/>
          <w:szCs w:val="28"/>
          <w:lang w:val="en-US" w:eastAsia="zh-CN"/>
        </w:rPr>
        <w:t>5</w:t>
      </w:r>
      <w:r>
        <w:rPr>
          <w:rFonts w:hint="eastAsia" w:ascii="Times New Roman" w:hAnsi="Times New Roman" w:eastAsia="方正仿宋简体" w:cs="方正仿宋简体"/>
          <w:bCs/>
          <w:sz w:val="32"/>
          <w:szCs w:val="28"/>
          <w:lang w:eastAsia="zh-CN"/>
        </w:rPr>
        <w:t>．</w:t>
      </w:r>
      <w:r>
        <w:rPr>
          <w:rFonts w:hint="eastAsia" w:ascii="Times New Roman" w:hAnsi="Times New Roman" w:eastAsia="方正仿宋简体" w:cs="方正仿宋简体"/>
          <w:bCs/>
          <w:sz w:val="32"/>
          <w:szCs w:val="28"/>
          <w:lang w:val="en-US" w:eastAsia="zh-CN"/>
        </w:rPr>
        <w:t>未来成长动能充沛，产业迭代进阶路径清晰</w:t>
      </w:r>
      <w:bookmarkEnd w:id="319"/>
    </w:p>
    <w:p w14:paraId="0083ABE2">
      <w:pPr>
        <w:spacing w:line="576" w:lineRule="exact"/>
        <w:ind w:firstLine="640" w:firstLineChars="200"/>
        <w:jc w:val="both"/>
        <w:rPr>
          <w:rFonts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那曲绿色矿产业兼具战略矿种稀缺、高品位资源优质、零碳开发可行、政策体系完备、市场赛道广阔多重优势，虽然当前存在高海拔施工运维成本偏高、专业技术人才短缺、本地化配套产业链不完善等阶段性短板，但随着绿色开采技术迭代、低碳装备适配升级、物流基建持续完善、人才队伍逐步培育，产业发展瓶颈将持续破解。未来可深度依托清洁能源资源，打造“光伏风电+绿色采矿”零碳生产模式，推动盐湖锂、水菱镁、多金属矿综合回收、精深加工，持续延伸产业链、提升产品附加值。同时，创新推动绿色矿业与生态文旅融合，培育矿业科普、生态研学等新兴业态，实现“资源开发+生态保护+产业增值+文旅赋能”多元协同。长远来看，产业资源优势、政策优势、技术优势、赛道优势将全面转化为经济竞争优势，具备从特色潜力产业稳步跃升为那曲支柱产业的坚实基础与广阔前景。</w:t>
      </w:r>
    </w:p>
    <w:p w14:paraId="56659DC5">
      <w:pPr>
        <w:spacing w:line="576" w:lineRule="exact"/>
        <w:ind w:firstLine="640" w:firstLineChars="200"/>
        <w:jc w:val="both"/>
        <w:rPr>
          <w:rFonts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综上，当前产业培育势头良好、成长动能充沛、进阶路径清晰，是支撑那曲新型工业化提质升级、补齐工业经济短板、服务国家战略资源安全的核心潜力产业，未来可稳步成长为</w:t>
      </w:r>
      <w:bookmarkStart w:id="320" w:name="OLE_LINK165"/>
      <w:r>
        <w:rPr>
          <w:rFonts w:hint="eastAsia" w:ascii="Times New Roman" w:hAnsi="Times New Roman" w:eastAsia="方正仿宋简体" w:cs="方正仿宋简体"/>
          <w:bCs/>
          <w:sz w:val="32"/>
          <w:szCs w:val="28"/>
          <w:lang w:val="en-US" w:eastAsia="zh-CN"/>
        </w:rPr>
        <w:t>那曲</w:t>
      </w:r>
      <w:bookmarkEnd w:id="320"/>
      <w:r>
        <w:rPr>
          <w:rFonts w:hint="eastAsia" w:ascii="Times New Roman" w:hAnsi="Times New Roman" w:eastAsia="方正仿宋简体" w:cs="方正仿宋简体"/>
          <w:bCs/>
          <w:sz w:val="32"/>
          <w:szCs w:val="28"/>
          <w:lang w:val="en-US" w:eastAsia="zh-CN"/>
        </w:rPr>
        <w:t>第五大战略性支柱产业。</w:t>
      </w:r>
    </w:p>
    <w:p w14:paraId="13626FE7">
      <w:pPr>
        <w:pStyle w:val="8"/>
        <w:overflowPunct w:val="0"/>
        <w:topLinePunct/>
        <w:autoSpaceDE/>
        <w:autoSpaceDN/>
        <w:spacing w:before="0" w:line="576" w:lineRule="exact"/>
        <w:ind w:left="0" w:firstLine="640" w:firstLineChars="200"/>
        <w:jc w:val="both"/>
        <w:outlineLvl w:val="1"/>
        <w:rPr>
          <w:rFonts w:ascii="Times New Roman" w:hAnsi="Times New Roman" w:eastAsia="方正楷体简体" w:cs="方正小标宋简体"/>
          <w:sz w:val="32"/>
          <w:szCs w:val="32"/>
        </w:rPr>
      </w:pPr>
      <w:bookmarkStart w:id="321" w:name="_Toc218422271"/>
      <w:bookmarkStart w:id="322" w:name="_Toc243241509"/>
      <w:bookmarkStart w:id="323" w:name="OLE_LINK121"/>
      <w:r>
        <w:rPr>
          <w:rFonts w:hint="eastAsia" w:ascii="Times New Roman" w:hAnsi="Times New Roman" w:eastAsia="方正楷体简体" w:cs="方正小标宋简体"/>
          <w:sz w:val="32"/>
          <w:szCs w:val="32"/>
        </w:rPr>
        <w:t>（三）卤虫卵产业</w:t>
      </w:r>
      <w:bookmarkEnd w:id="321"/>
      <w:bookmarkEnd w:id="322"/>
    </w:p>
    <w:p w14:paraId="426BADFC">
      <w:pPr>
        <w:spacing w:line="576" w:lineRule="exact"/>
        <w:ind w:firstLine="640" w:firstLineChars="200"/>
        <w:jc w:val="both"/>
        <w:rPr>
          <w:rFonts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那曲市卤虫卵产业依托独一无二的极地盐湖资源、差异化高品质产品优势、援藏科研双赋能、高附加值赛道空间，资源稀缺性极强、富民成效显著、产业成长性突出。当前产业已完成从原料转制到精深加工的关键转型，产业体系初步成型，但整体体量偏小、产业链条偏短、品牌能级不高，仍处于提质升级、蓄力赋能的培育阶段，暂未形成全域支柱支撑能力，是全市极具特色、优势突出、成长性优异的特色潜力产业，未来有望打造成为高原特色生物产业新增长极。</w:t>
      </w:r>
    </w:p>
    <w:p w14:paraId="37FE77CF">
      <w:pPr>
        <w:spacing w:line="576" w:lineRule="exact"/>
        <w:ind w:firstLine="640" w:firstLineChars="200"/>
        <w:jc w:val="both"/>
        <w:outlineLvl w:val="2"/>
        <w:rPr>
          <w:rFonts w:ascii="Times New Roman" w:hAnsi="Times New Roman" w:eastAsia="方正仿宋简体" w:cs="方正仿宋简体"/>
          <w:bCs/>
          <w:sz w:val="32"/>
          <w:szCs w:val="28"/>
          <w:lang w:val="en-US" w:eastAsia="zh-CN"/>
        </w:rPr>
      </w:pPr>
      <w:bookmarkStart w:id="324" w:name="_Toc243241510"/>
      <w:r>
        <w:rPr>
          <w:rFonts w:hint="eastAsia" w:ascii="Times New Roman" w:hAnsi="Times New Roman" w:eastAsia="方正仿宋简体" w:cs="方正仿宋简体"/>
          <w:bCs/>
          <w:sz w:val="32"/>
          <w:szCs w:val="28"/>
          <w:lang w:val="en-US" w:eastAsia="zh-CN"/>
        </w:rPr>
        <w:t>1</w:t>
      </w:r>
      <w:r>
        <w:rPr>
          <w:rFonts w:hint="eastAsia" w:ascii="Times New Roman" w:hAnsi="Times New Roman" w:eastAsia="方正仿宋简体" w:cs="方正仿宋简体"/>
          <w:bCs/>
          <w:sz w:val="32"/>
          <w:szCs w:val="28"/>
          <w:lang w:eastAsia="zh-CN"/>
        </w:rPr>
        <w:t>．</w:t>
      </w:r>
      <w:r>
        <w:rPr>
          <w:rFonts w:hint="eastAsia" w:ascii="Times New Roman" w:hAnsi="Times New Roman" w:eastAsia="方正仿宋简体" w:cs="方正仿宋简体"/>
          <w:bCs/>
          <w:sz w:val="32"/>
          <w:szCs w:val="28"/>
          <w:lang w:val="en-US" w:eastAsia="zh-CN"/>
        </w:rPr>
        <w:t>产业基础条件稀缺独特，极地资源壁垒不可复制</w:t>
      </w:r>
      <w:bookmarkEnd w:id="324"/>
    </w:p>
    <w:p w14:paraId="3847232E">
      <w:pPr>
        <w:spacing w:line="576" w:lineRule="exact"/>
        <w:ind w:firstLine="640" w:firstLineChars="200"/>
        <w:jc w:val="both"/>
        <w:rPr>
          <w:rFonts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那曲市双湖县其香错盐湖是国内稀缺的高海拔优质卤虫卵核心产区，盐湖资源储量充沛、原生禀赋优越。湖区平均海拔近5000米，依托高海拔、低温、高盐、零工业污染的独特极地生态环境，产出的卤虫卵具备孵化率高、壳质易分离、营养密度大等突出特质，富含类胡萝卜素、不饱和脂肪酸等优质营养成分，产品品质显著优于沿海及内陆盐湖卤虫卵，被誉为“水黄金”“大海金粉”，形成天然差异化品质壁垒。产业资源属性绿色洁净、原生态特征显著，契合高端水产育苗、功能康养产品的高端消费赛道。同时，卤虫卵资源与那曲冬虫夏草并列为两大传统特色经济资源。</w:t>
      </w:r>
    </w:p>
    <w:p w14:paraId="1C1D7388">
      <w:pPr>
        <w:spacing w:line="576" w:lineRule="exact"/>
        <w:ind w:firstLine="640" w:firstLineChars="200"/>
        <w:jc w:val="both"/>
        <w:outlineLvl w:val="2"/>
        <w:rPr>
          <w:rFonts w:ascii="Times New Roman" w:hAnsi="Times New Roman" w:eastAsia="方正仿宋简体" w:cs="方正仿宋简体"/>
          <w:bCs/>
          <w:sz w:val="32"/>
          <w:szCs w:val="28"/>
          <w:lang w:val="en-US" w:eastAsia="zh-CN"/>
        </w:rPr>
      </w:pPr>
      <w:bookmarkStart w:id="325" w:name="_Toc243241511"/>
      <w:r>
        <w:rPr>
          <w:rFonts w:hint="eastAsia" w:ascii="Times New Roman" w:hAnsi="Times New Roman" w:eastAsia="方正仿宋简体" w:cs="方正仿宋简体"/>
          <w:bCs/>
          <w:sz w:val="32"/>
          <w:szCs w:val="28"/>
          <w:lang w:val="en-US" w:eastAsia="zh-CN"/>
        </w:rPr>
        <w:t>2</w:t>
      </w:r>
      <w:r>
        <w:rPr>
          <w:rFonts w:hint="eastAsia" w:ascii="Times New Roman" w:hAnsi="Times New Roman" w:eastAsia="方正仿宋简体" w:cs="方正仿宋简体"/>
          <w:bCs/>
          <w:sz w:val="32"/>
          <w:szCs w:val="28"/>
          <w:lang w:eastAsia="zh-CN"/>
        </w:rPr>
        <w:t>．</w:t>
      </w:r>
      <w:r>
        <w:rPr>
          <w:rFonts w:hint="eastAsia" w:ascii="Times New Roman" w:hAnsi="Times New Roman" w:eastAsia="方正仿宋简体" w:cs="方正仿宋简体"/>
          <w:bCs/>
          <w:sz w:val="32"/>
          <w:szCs w:val="28"/>
          <w:lang w:val="en-US" w:eastAsia="zh-CN"/>
        </w:rPr>
        <w:t>产值经济贡献稳步攀升，增量成长动能持续积蓄</w:t>
      </w:r>
      <w:bookmarkEnd w:id="325"/>
    </w:p>
    <w:p w14:paraId="30E5D763">
      <w:pPr>
        <w:spacing w:line="576" w:lineRule="exact"/>
        <w:ind w:firstLine="640" w:firstLineChars="200"/>
        <w:jc w:val="both"/>
        <w:rPr>
          <w:rFonts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那曲市卤虫卵产业已初步摆脱粗放原料售卖模式，实现本地化精深加工跨越式升级，产业增值效能持续释放、经济贡献逐年提升。2020年，依托中国石油1380万元援藏资金援建的卤虫卵深加工厂正式投产，彻底扭转了原材料低价外销局面，加工后产品销售价格较毛料直接销售提升约45%，产业增值空间大幅拓宽。加工厂设计年处理卤虫卵原料500吨、年产成品250余吨，规模化加工产能基本成型。市场开拓成效显著，2022年广州专场推介会成功签订200吨产品订单，品牌市场辐射力持续增强。</w:t>
      </w:r>
      <w:bookmarkStart w:id="326" w:name="OLE_LINK13"/>
      <w:r>
        <w:rPr>
          <w:rFonts w:hint="eastAsia" w:ascii="Times New Roman" w:hAnsi="Times New Roman" w:eastAsia="方正仿宋简体" w:cs="方正仿宋简体"/>
          <w:bCs/>
          <w:sz w:val="32"/>
          <w:szCs w:val="28"/>
          <w:lang w:val="en-US" w:eastAsia="zh-CN"/>
        </w:rPr>
        <w:t>产业经济效益逐年跃升，2022年带动捕捞群众年人均增收2500元，2023年人均增收提升至3900余元，2024年全县卤虫卵产量达280余吨，实现群众增收2240余万元，参与捕捞群众人均增收近1.3万元。</w:t>
      </w:r>
      <w:bookmarkEnd w:id="326"/>
      <w:r>
        <w:rPr>
          <w:rFonts w:hint="eastAsia" w:ascii="Times New Roman" w:hAnsi="Times New Roman" w:eastAsia="方正仿宋简体" w:cs="方正仿宋简体"/>
          <w:bCs/>
          <w:sz w:val="32"/>
          <w:szCs w:val="28"/>
          <w:lang w:val="en-US" w:eastAsia="zh-CN"/>
        </w:rPr>
        <w:t>2025年，全县严格落实生态配额、规范标准化捕捞管理，依托精深加工赋能、品牌化市场运营、稳定产销对接体系，产业发展质效持续提质稳量，群众持续性增收格局进一步巩固，产业富民效益更加凸显。</w:t>
      </w:r>
      <w:bookmarkStart w:id="327" w:name="OLE_LINK24"/>
      <w:r>
        <w:rPr>
          <w:rFonts w:ascii="Times New Roman" w:hAnsi="Times New Roman" w:eastAsia="方正仿宋简体" w:cs="方正仿宋简体"/>
          <w:bCs/>
          <w:sz w:val="32"/>
          <w:szCs w:val="28"/>
          <w:lang w:eastAsia="zh-CN"/>
        </w:rPr>
        <w:t>随着标准化捕捞、精细化加工、品牌化销售体系持续完善，产业产值稳步增长，产业发展潜力突出，有望成长为支撑县域经济增长的特色优势产业。</w:t>
      </w:r>
    </w:p>
    <w:bookmarkEnd w:id="327"/>
    <w:p w14:paraId="7C84C688">
      <w:pPr>
        <w:spacing w:line="576" w:lineRule="exact"/>
        <w:ind w:firstLine="640" w:firstLineChars="200"/>
        <w:jc w:val="both"/>
        <w:outlineLvl w:val="2"/>
        <w:rPr>
          <w:rFonts w:ascii="Times New Roman" w:hAnsi="Times New Roman" w:eastAsia="方正仿宋简体" w:cs="方正仿宋简体"/>
          <w:bCs/>
          <w:sz w:val="32"/>
          <w:szCs w:val="28"/>
          <w:lang w:val="en-US" w:eastAsia="zh-CN"/>
        </w:rPr>
      </w:pPr>
      <w:bookmarkStart w:id="328" w:name="_Toc243241512"/>
      <w:r>
        <w:rPr>
          <w:rFonts w:hint="eastAsia" w:ascii="Times New Roman" w:hAnsi="Times New Roman" w:eastAsia="方正仿宋简体" w:cs="方正仿宋简体"/>
          <w:bCs/>
          <w:sz w:val="32"/>
          <w:szCs w:val="28"/>
          <w:lang w:val="en-US" w:eastAsia="zh-CN"/>
        </w:rPr>
        <w:t>3</w:t>
      </w:r>
      <w:r>
        <w:rPr>
          <w:rFonts w:hint="eastAsia" w:ascii="Times New Roman" w:hAnsi="Times New Roman" w:eastAsia="方正仿宋简体" w:cs="方正仿宋简体"/>
          <w:bCs/>
          <w:sz w:val="32"/>
          <w:szCs w:val="28"/>
          <w:lang w:eastAsia="zh-CN"/>
        </w:rPr>
        <w:t>．</w:t>
      </w:r>
      <w:r>
        <w:rPr>
          <w:rFonts w:hint="eastAsia" w:ascii="Times New Roman" w:hAnsi="Times New Roman" w:eastAsia="方正仿宋简体" w:cs="方正仿宋简体"/>
          <w:bCs/>
          <w:sz w:val="32"/>
          <w:szCs w:val="28"/>
          <w:lang w:val="en-US" w:eastAsia="zh-CN"/>
        </w:rPr>
        <w:t>就业承载覆盖面广，富民惠民支柱效能扎实凸显</w:t>
      </w:r>
      <w:bookmarkEnd w:id="328"/>
    </w:p>
    <w:p w14:paraId="0CC139E2">
      <w:pPr>
        <w:spacing w:line="576" w:lineRule="exact"/>
        <w:ind w:firstLine="640" w:firstLineChars="200"/>
        <w:jc w:val="both"/>
        <w:rPr>
          <w:rFonts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卤虫卵产业是双湖县富民增收的核心特色产业，产业链覆盖盐湖管护、规范捕捞、精深加工、仓储销售、品牌推广等全链条环节，本地化适配度高、群众参与度广、普惠性极强。产业常态化吸纳本地牧民参与标准化捕捞、厂区务工、产品分拣、后勤服务等工作，持续释放稳定就业岗位，同步吸纳本地大学生返乡就业创业，培育本土产业技术与运营人才队伍，实现群众就近就业、稳定增收、技能提升多重赋能。产业覆盖群众基数大、增收成效实，累计带动近3000名群众持续增收，成为巩固拓展脱贫攻坚成果、夯实乡村振兴民生底盘、拓宽牧民多元增收渠道的关键支撑，民生赋能价值极为突出。</w:t>
      </w:r>
    </w:p>
    <w:p w14:paraId="6BD64AEC">
      <w:pPr>
        <w:spacing w:line="576" w:lineRule="exact"/>
        <w:ind w:firstLine="640" w:firstLineChars="200"/>
        <w:jc w:val="both"/>
        <w:outlineLvl w:val="2"/>
        <w:rPr>
          <w:rFonts w:ascii="Times New Roman" w:hAnsi="Times New Roman" w:eastAsia="方正仿宋简体" w:cs="方正仿宋简体"/>
          <w:bCs/>
          <w:sz w:val="32"/>
          <w:szCs w:val="28"/>
          <w:lang w:val="en-US" w:eastAsia="zh-CN"/>
        </w:rPr>
      </w:pPr>
      <w:bookmarkStart w:id="329" w:name="_Toc243241513"/>
      <w:bookmarkStart w:id="330" w:name="OLE_LINK183"/>
      <w:r>
        <w:rPr>
          <w:rFonts w:hint="eastAsia" w:ascii="Times New Roman" w:hAnsi="Times New Roman" w:eastAsia="方正仿宋简体" w:cs="方正仿宋简体"/>
          <w:bCs/>
          <w:sz w:val="32"/>
          <w:szCs w:val="28"/>
          <w:lang w:val="en-US" w:eastAsia="zh-CN"/>
        </w:rPr>
        <w:t>4</w:t>
      </w:r>
      <w:r>
        <w:rPr>
          <w:rFonts w:hint="eastAsia" w:ascii="Times New Roman" w:hAnsi="Times New Roman" w:eastAsia="方正仿宋简体" w:cs="方正仿宋简体"/>
          <w:bCs/>
          <w:sz w:val="32"/>
          <w:szCs w:val="28"/>
          <w:lang w:eastAsia="zh-CN"/>
        </w:rPr>
        <w:t>．</w:t>
      </w:r>
      <w:r>
        <w:rPr>
          <w:rFonts w:hint="eastAsia" w:ascii="Times New Roman" w:hAnsi="Times New Roman" w:eastAsia="方正仿宋简体" w:cs="方正仿宋简体"/>
          <w:bCs/>
          <w:sz w:val="32"/>
          <w:szCs w:val="28"/>
          <w:lang w:val="en-US" w:eastAsia="zh-CN"/>
        </w:rPr>
        <w:t>政策扶持体系多级联动，产业培育赋能精准有力</w:t>
      </w:r>
      <w:bookmarkEnd w:id="329"/>
    </w:p>
    <w:p w14:paraId="170525F0">
      <w:pPr>
        <w:spacing w:line="576" w:lineRule="exact"/>
        <w:ind w:firstLine="640" w:firstLineChars="200"/>
        <w:jc w:val="both"/>
        <w:rPr>
          <w:rFonts w:ascii="Times New Roman" w:hAnsi="Times New Roman" w:eastAsia="方正仿宋简体" w:cs="方正仿宋简体"/>
          <w:bCs/>
          <w:sz w:val="32"/>
          <w:szCs w:val="28"/>
          <w:lang w:val="en-US" w:eastAsia="zh-CN"/>
        </w:rPr>
      </w:pPr>
      <w:r>
        <w:rPr>
          <w:rFonts w:ascii="Times New Roman" w:hAnsi="Times New Roman" w:eastAsia="方正仿宋简体" w:cs="方正仿宋简体"/>
          <w:bCs/>
          <w:sz w:val="32"/>
          <w:szCs w:val="28"/>
          <w:lang w:eastAsia="zh-CN"/>
        </w:rPr>
        <w:t>卤虫卵产业发展依托国家层面项目指导、自治区及市级科技专项引领、援藏力量精准赋能、科研院所技术支撑的多层级扶持体系，产业发展保障基础不断夯实。国家层面，农业农村部渔业渔政管理局对高原卤虫资源开发给予项目指导，将双湖卤虫卵深加工列为科技援藏示范项目，同步落实西部大开发普惠性税费优惠政策，降低企业生产运营成本。自治区、</w:t>
      </w:r>
      <w:r>
        <w:rPr>
          <w:rFonts w:hint="eastAsia" w:ascii="Times New Roman" w:hAnsi="Times New Roman" w:eastAsia="方正仿宋简体" w:cs="方正仿宋简体"/>
          <w:bCs/>
          <w:sz w:val="32"/>
          <w:szCs w:val="28"/>
          <w:lang w:eastAsia="zh-CN"/>
        </w:rPr>
        <w:t>那曲</w:t>
      </w:r>
      <w:r>
        <w:rPr>
          <w:rFonts w:ascii="Times New Roman" w:hAnsi="Times New Roman" w:eastAsia="方正仿宋简体" w:cs="方正仿宋简体"/>
          <w:bCs/>
          <w:sz w:val="32"/>
          <w:szCs w:val="28"/>
          <w:lang w:eastAsia="zh-CN"/>
        </w:rPr>
        <w:t>市级层面依托重点研发与转化等科技项目，聚焦卤虫资源调查、品系研究、精深加工技术攻关开展试点示范，在技术改造、产品研发、市场对接、本土人才实训等方面给予支持，推动卤虫卵产业由原料外销向精深加工方向提质升级。</w:t>
      </w:r>
    </w:p>
    <w:bookmarkEnd w:id="330"/>
    <w:p w14:paraId="3B8D38BC">
      <w:pPr>
        <w:spacing w:line="576" w:lineRule="exact"/>
        <w:ind w:firstLine="640" w:firstLineChars="200"/>
        <w:jc w:val="both"/>
        <w:outlineLvl w:val="2"/>
        <w:rPr>
          <w:rFonts w:ascii="Times New Roman" w:hAnsi="Times New Roman" w:eastAsia="方正仿宋简体" w:cs="方正仿宋简体"/>
          <w:bCs/>
          <w:sz w:val="32"/>
          <w:szCs w:val="28"/>
          <w:lang w:val="en-US" w:eastAsia="zh-CN"/>
        </w:rPr>
      </w:pPr>
      <w:bookmarkStart w:id="331" w:name="_Toc243241514"/>
      <w:r>
        <w:rPr>
          <w:rFonts w:hint="eastAsia" w:ascii="Times New Roman" w:hAnsi="Times New Roman" w:eastAsia="方正仿宋简体" w:cs="方正仿宋简体"/>
          <w:bCs/>
          <w:sz w:val="32"/>
          <w:szCs w:val="28"/>
          <w:lang w:val="en-US" w:eastAsia="zh-CN"/>
        </w:rPr>
        <w:t>5</w:t>
      </w:r>
      <w:r>
        <w:rPr>
          <w:rFonts w:hint="eastAsia" w:ascii="Times New Roman" w:hAnsi="Times New Roman" w:eastAsia="方正仿宋简体" w:cs="方正仿宋简体"/>
          <w:bCs/>
          <w:sz w:val="32"/>
          <w:szCs w:val="28"/>
          <w:lang w:eastAsia="zh-CN"/>
        </w:rPr>
        <w:t>．</w:t>
      </w:r>
      <w:r>
        <w:rPr>
          <w:rFonts w:hint="eastAsia" w:ascii="Times New Roman" w:hAnsi="Times New Roman" w:eastAsia="方正仿宋简体" w:cs="方正仿宋简体"/>
          <w:bCs/>
          <w:sz w:val="32"/>
          <w:szCs w:val="28"/>
          <w:lang w:val="en-US" w:eastAsia="zh-CN"/>
        </w:rPr>
        <w:t>未来成长空间纵深充足，产业迭代进阶路径清晰</w:t>
      </w:r>
      <w:bookmarkEnd w:id="331"/>
    </w:p>
    <w:p w14:paraId="33C66841">
      <w:pPr>
        <w:spacing w:line="576" w:lineRule="exact"/>
        <w:ind w:firstLine="640" w:firstLineChars="200"/>
        <w:jc w:val="both"/>
        <w:rPr>
          <w:rFonts w:ascii="Times New Roman" w:hAnsi="Times New Roman" w:eastAsia="方正仿宋简体" w:cs="方正仿宋简体"/>
          <w:bCs/>
          <w:sz w:val="32"/>
          <w:szCs w:val="28"/>
          <w:lang w:val="en-US" w:eastAsia="zh-CN"/>
        </w:rPr>
      </w:pPr>
      <w:r>
        <w:rPr>
          <w:rFonts w:ascii="Times New Roman" w:hAnsi="Times New Roman" w:eastAsia="方正仿宋简体" w:cs="方正仿宋简体"/>
          <w:bCs/>
          <w:sz w:val="32"/>
          <w:szCs w:val="28"/>
          <w:lang w:eastAsia="zh-CN"/>
        </w:rPr>
        <w:t>那曲市卤虫卵产业兼具稀缺资源、优质品质、科技赋能、富民属性多重优势，当前还存在高海拔加工运维成本偏高、冷链物流配套滞后、专业人才短缺、产业链条较短、高附加值产品占比偏低等阶段性短板。通过迭代优化加工工艺装备、补齐冷链物流配套、强化人才引育、延伸精深加工链条、做强特色产品品牌，可逐项化解产业发展制约，释放产业成长空间</w:t>
      </w:r>
      <w:r>
        <w:rPr>
          <w:rFonts w:hint="eastAsia" w:ascii="Times New Roman" w:hAnsi="Times New Roman" w:eastAsia="方正仿宋简体" w:cs="方正仿宋简体"/>
          <w:bCs/>
          <w:sz w:val="32"/>
          <w:szCs w:val="28"/>
          <w:lang w:eastAsia="zh-CN"/>
        </w:rPr>
        <w:t>。未来</w:t>
      </w:r>
      <w:r>
        <w:rPr>
          <w:rFonts w:hint="eastAsia" w:ascii="Times New Roman" w:hAnsi="Times New Roman" w:eastAsia="方正仿宋简体" w:cs="方正仿宋简体"/>
          <w:bCs/>
          <w:sz w:val="32"/>
          <w:szCs w:val="28"/>
          <w:lang w:val="en-US" w:eastAsia="zh-CN"/>
        </w:rPr>
        <w:t>产业市场赛道广阔，高端水产育苗、观赏鱼养殖、宠物饲料、功能食品、保健品等领域需求持续扩容，原料单价7万元/吨，精深加工产品单价可达25万元/吨，附加值提升3至4倍，增值空间极为可观。同时，产业融合发展潜力充足，可深度联动特色文旅产业，开发盐湖生态观光、卤虫科普研学等新业态，推动“特色资源+精深加工+文旅体验”多元融合发展。长远来看，通过严守生态配额捕捞制度、推进高附加值产品研发、打造“极地海金沙”区域公共品牌、完善冷链物流体系，产业资源优势、品质优势、政策优势将全面转化为产业竞争优势和经济优势，具备持续提质扩容、迭代升级的广阔成长空间。</w:t>
      </w:r>
    </w:p>
    <w:p w14:paraId="5D9A44ED">
      <w:pPr>
        <w:spacing w:line="576" w:lineRule="exact"/>
        <w:ind w:firstLine="640" w:firstLineChars="200"/>
        <w:jc w:val="both"/>
        <w:rPr>
          <w:rFonts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综上，那曲市卤虫卵产业拥有独一无二的极地资源禀赋、显著的品质优势、扎实的富民增收成效、多层级政策科研赋能、广阔的高端市场空间，是高原特色生物产业转型升级的典型示范。当前产业发展势头稳健、培育成效显著、进阶路径清晰，虽仍处于提质升级的潜力培育阶段，但未来可持续释放产业增值红利、拓宽富民增收渠道、丰富特色产业业态，是支撑那曲特色产业多元化发展、助力乡村全面振兴的优质特色潜力产业。</w:t>
      </w:r>
    </w:p>
    <w:bookmarkEnd w:id="323"/>
    <w:p w14:paraId="02532499">
      <w:pPr>
        <w:pStyle w:val="8"/>
        <w:overflowPunct w:val="0"/>
        <w:topLinePunct/>
        <w:autoSpaceDE/>
        <w:autoSpaceDN/>
        <w:spacing w:before="0" w:line="576" w:lineRule="exact"/>
        <w:ind w:left="0" w:firstLine="640" w:firstLineChars="200"/>
        <w:jc w:val="both"/>
        <w:outlineLvl w:val="0"/>
        <w:rPr>
          <w:rFonts w:hint="eastAsia" w:ascii="方正黑体简体" w:hAnsi="方正黑体简体" w:eastAsia="方正黑体简体" w:cs="方正黑体简体"/>
          <w:bCs/>
          <w:sz w:val="32"/>
          <w:szCs w:val="28"/>
          <w:lang w:val="en-US" w:eastAsia="zh-CN"/>
        </w:rPr>
      </w:pPr>
      <w:bookmarkStart w:id="332" w:name="_Toc212558127"/>
      <w:bookmarkStart w:id="333" w:name="_Toc218422272"/>
      <w:bookmarkStart w:id="334" w:name="_Toc243241515"/>
      <w:bookmarkStart w:id="335" w:name="OLE_LINK207"/>
      <w:r>
        <w:rPr>
          <w:rFonts w:hint="eastAsia" w:ascii="方正黑体简体" w:hAnsi="方正黑体简体" w:eastAsia="方正黑体简体" w:cs="方正黑体简体"/>
          <w:bCs/>
          <w:sz w:val="32"/>
          <w:szCs w:val="28"/>
          <w:lang w:val="en-US" w:eastAsia="zh-CN"/>
        </w:rPr>
        <w:t>四、</w:t>
      </w:r>
      <w:r>
        <w:rPr>
          <w:rFonts w:hint="eastAsia" w:ascii="Times New Roman" w:hAnsi="Times New Roman" w:eastAsia="方正黑体简体" w:cs="方正黑体简体"/>
          <w:sz w:val="32"/>
          <w:szCs w:val="32"/>
          <w:lang w:val="en-US" w:eastAsia="zh-CN"/>
        </w:rPr>
        <w:t>新兴</w:t>
      </w:r>
      <w:r>
        <w:rPr>
          <w:rFonts w:hint="eastAsia" w:ascii="方正黑体简体" w:hAnsi="方正黑体简体" w:eastAsia="方正黑体简体" w:cs="方正黑体简体"/>
          <w:bCs/>
          <w:sz w:val="32"/>
          <w:szCs w:val="28"/>
          <w:lang w:val="en-US" w:eastAsia="zh-CN"/>
        </w:rPr>
        <w:t>战略产业</w:t>
      </w:r>
      <w:bookmarkEnd w:id="332"/>
      <w:bookmarkEnd w:id="333"/>
      <w:bookmarkEnd w:id="334"/>
    </w:p>
    <w:p w14:paraId="4AAFB5A8">
      <w:pPr>
        <w:pStyle w:val="8"/>
        <w:overflowPunct w:val="0"/>
        <w:topLinePunct/>
        <w:autoSpaceDE/>
        <w:autoSpaceDN/>
        <w:spacing w:before="0" w:line="576" w:lineRule="exact"/>
        <w:ind w:left="0" w:firstLine="640" w:firstLineChars="200"/>
        <w:jc w:val="both"/>
        <w:outlineLvl w:val="1"/>
        <w:rPr>
          <w:rFonts w:ascii="Times New Roman" w:hAnsi="Times New Roman" w:eastAsia="方正楷体简体" w:cs="方正小标宋简体"/>
          <w:sz w:val="32"/>
          <w:szCs w:val="32"/>
          <w:lang w:eastAsia="zh-CN"/>
        </w:rPr>
      </w:pPr>
      <w:bookmarkStart w:id="336" w:name="_Toc243241516"/>
      <w:bookmarkStart w:id="337" w:name="_Toc218422273"/>
      <w:bookmarkStart w:id="338" w:name="OLE_LINK186"/>
      <w:bookmarkStart w:id="339" w:name="OLE_LINK185"/>
      <w:r>
        <w:rPr>
          <w:rFonts w:hint="eastAsia" w:ascii="Times New Roman" w:hAnsi="Times New Roman" w:eastAsia="方正楷体简体" w:cs="方正小标宋简体"/>
          <w:sz w:val="32"/>
          <w:szCs w:val="32"/>
        </w:rPr>
        <w:t>（一）低空经济</w:t>
      </w:r>
      <w:bookmarkEnd w:id="336"/>
      <w:bookmarkEnd w:id="337"/>
    </w:p>
    <w:bookmarkEnd w:id="338"/>
    <w:p w14:paraId="51D8D117">
      <w:pPr>
        <w:spacing w:line="576" w:lineRule="exact"/>
        <w:ind w:firstLine="640" w:firstLineChars="200"/>
        <w:jc w:val="both"/>
        <w:rPr>
          <w:rFonts w:ascii="Times New Roman" w:hAnsi="Times New Roman" w:eastAsia="方正仿宋简体" w:cs="方正仿宋简体"/>
          <w:bCs/>
          <w:sz w:val="32"/>
          <w:szCs w:val="28"/>
          <w:lang w:val="en-US" w:eastAsia="zh-CN"/>
        </w:rPr>
      </w:pPr>
      <w:bookmarkStart w:id="340" w:name="OLE_LINK187"/>
      <w:r>
        <w:rPr>
          <w:rFonts w:ascii="Times New Roman" w:hAnsi="Times New Roman" w:eastAsia="方正仿宋简体" w:cs="方正仿宋简体"/>
          <w:bCs/>
          <w:sz w:val="32"/>
          <w:szCs w:val="28"/>
          <w:lang w:eastAsia="zh-CN"/>
        </w:rPr>
        <w:t>结合战略定位、科技创新、产业成长、融合赋能、长期价值五大新兴战略产业评判标准，立足那曲资源禀赋、应用场景、政策布局与产业发展现状综合研判，低空经济深度契合国家治边稳藏、低空空域改革、新型生产力培育重大战略，依托高原独有刚需应用场景、边疆治理现实需求突出、高新技术融合支撑、全域产业联动赋能、长期增量空间广阔五大核心特征，高度契合那曲产业转型发展导向，有利于抢占高原特色产业新赛道，是那曲亟需布局培育的新兴战略产业。</w:t>
      </w:r>
      <w:bookmarkEnd w:id="340"/>
      <w:r>
        <w:rPr>
          <w:rFonts w:hint="eastAsia" w:ascii="Times New Roman" w:hAnsi="Times New Roman" w:eastAsia="方正仿宋简体" w:cs="方正仿宋简体"/>
          <w:bCs/>
          <w:sz w:val="32"/>
          <w:szCs w:val="28"/>
          <w:lang w:val="en-US" w:eastAsia="zh-CN"/>
        </w:rPr>
        <w:t>当前产业尚处于试点起步、场景示范、基建铺垫阶段，经济体量、市场主体规模、全产业链配套尚未成型，短期经济贡献、就业承载能力有限，但技术迭代空间大、跨界融合能力强、中长期爆发式增长潜力突出，是补齐交通民生短板、筑牢生态安全与边防管控屏障、培育未来全新增长动能的核心前沿产业。</w:t>
      </w:r>
    </w:p>
    <w:p w14:paraId="05DA2EC9">
      <w:pPr>
        <w:spacing w:line="576" w:lineRule="exact"/>
        <w:ind w:firstLine="640" w:firstLineChars="200"/>
        <w:jc w:val="both"/>
        <w:outlineLvl w:val="2"/>
        <w:rPr>
          <w:rFonts w:ascii="Times New Roman" w:hAnsi="Times New Roman" w:eastAsia="方正仿宋简体" w:cs="方正仿宋简体"/>
          <w:bCs/>
          <w:sz w:val="32"/>
          <w:szCs w:val="28"/>
          <w:lang w:val="en-US" w:eastAsia="zh-CN"/>
        </w:rPr>
      </w:pPr>
      <w:bookmarkStart w:id="341" w:name="_Toc243241517"/>
      <w:r>
        <w:rPr>
          <w:rFonts w:hint="eastAsia" w:ascii="Times New Roman" w:hAnsi="Times New Roman" w:eastAsia="方正仿宋简体" w:cs="方正仿宋简体"/>
          <w:bCs/>
          <w:sz w:val="32"/>
          <w:szCs w:val="28"/>
          <w:lang w:val="en-US" w:eastAsia="zh-CN"/>
        </w:rPr>
        <w:t>1</w:t>
      </w:r>
      <w:r>
        <w:rPr>
          <w:rFonts w:hint="eastAsia" w:ascii="Times New Roman" w:hAnsi="Times New Roman" w:eastAsia="方正仿宋简体" w:cs="方正仿宋简体"/>
          <w:bCs/>
          <w:sz w:val="32"/>
          <w:szCs w:val="28"/>
          <w:lang w:eastAsia="zh-CN"/>
        </w:rPr>
        <w:t>．</w:t>
      </w:r>
      <w:r>
        <w:rPr>
          <w:rFonts w:hint="eastAsia" w:ascii="Times New Roman" w:hAnsi="Times New Roman" w:eastAsia="方正仿宋简体" w:cs="方正仿宋简体"/>
          <w:bCs/>
          <w:sz w:val="32"/>
          <w:szCs w:val="28"/>
          <w:lang w:val="en-US" w:eastAsia="zh-CN"/>
        </w:rPr>
        <w:t>战略定位层级突出，紧扣国家区域重大发展布局</w:t>
      </w:r>
      <w:bookmarkEnd w:id="341"/>
    </w:p>
    <w:p w14:paraId="1E4176D1">
      <w:pPr>
        <w:spacing w:line="576" w:lineRule="exact"/>
        <w:ind w:firstLine="640" w:firstLineChars="200"/>
        <w:jc w:val="both"/>
        <w:rPr>
          <w:rFonts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低空经济事关国土安全、生态安全、民生应急、边疆治理多重核心战略，完全契合国家“治边稳藏”、青藏高原生态安全屏障建设、低空空域管理改革、西部大开发等顶层部署，是自治区、那曲市中长期产业规划重点布局的前沿赛道。</w:t>
      </w:r>
      <w:bookmarkStart w:id="342" w:name="OLE_LINK188"/>
      <w:r>
        <w:rPr>
          <w:rFonts w:ascii="Times New Roman" w:hAnsi="Times New Roman" w:eastAsia="方正仿宋简体" w:cs="方正仿宋简体"/>
          <w:bCs/>
          <w:sz w:val="32"/>
          <w:szCs w:val="28"/>
          <w:lang w:val="en-US" w:eastAsia="zh-CN"/>
        </w:rPr>
        <w:t>那曲市市域国土面积约35.3万平方公里，常住人口50.48万人</w:t>
      </w:r>
      <w:r>
        <w:rPr>
          <w:rFonts w:hint="eastAsia" w:ascii="Times New Roman" w:hAnsi="Times New Roman" w:eastAsia="方正仿宋简体" w:cs="方正仿宋简体"/>
          <w:bCs/>
          <w:sz w:val="32"/>
          <w:szCs w:val="28"/>
          <w:lang w:val="en-US" w:eastAsia="zh-CN"/>
        </w:rPr>
        <w:t>（</w:t>
      </w:r>
      <w:bookmarkStart w:id="343" w:name="OLE_LINK189"/>
      <w:r>
        <w:rPr>
          <w:rFonts w:ascii="Times New Roman" w:hAnsi="Times New Roman" w:eastAsia="方正仿宋简体" w:cs="方正仿宋简体"/>
          <w:bCs/>
          <w:sz w:val="32"/>
          <w:szCs w:val="28"/>
          <w:lang w:val="en-US" w:eastAsia="zh-CN"/>
        </w:rPr>
        <w:t>第七次全国人口普查</w:t>
      </w:r>
      <w:bookmarkEnd w:id="343"/>
      <w:r>
        <w:rPr>
          <w:rFonts w:hint="eastAsia" w:ascii="Times New Roman" w:hAnsi="Times New Roman" w:eastAsia="方正仿宋简体" w:cs="方正仿宋简体"/>
          <w:bCs/>
          <w:sz w:val="32"/>
          <w:szCs w:val="28"/>
          <w:lang w:val="en-US" w:eastAsia="zh-CN"/>
        </w:rPr>
        <w:t>）</w:t>
      </w:r>
      <w:r>
        <w:rPr>
          <w:rFonts w:ascii="Times New Roman" w:hAnsi="Times New Roman" w:eastAsia="方正仿宋简体" w:cs="方正仿宋简体"/>
          <w:bCs/>
          <w:sz w:val="32"/>
          <w:szCs w:val="28"/>
          <w:lang w:val="en-US" w:eastAsia="zh-CN"/>
        </w:rPr>
        <w:t>，全域地广人稀。受高寒高海拔地理条件制约，公路、铁路建设运维成本高昂，大量偏远牧点、资源点位难以依托地面路网实现高效直达。依托低空通航点对点直达的运行模式，可有效补齐地域通达性短板。</w:t>
      </w:r>
      <w:bookmarkEnd w:id="342"/>
      <w:r>
        <w:rPr>
          <w:rFonts w:hint="eastAsia" w:ascii="Times New Roman" w:hAnsi="Times New Roman" w:eastAsia="方正仿宋简体" w:cs="方正仿宋简体"/>
          <w:bCs/>
          <w:sz w:val="32"/>
          <w:szCs w:val="28"/>
          <w:lang w:val="en-US" w:eastAsia="zh-CN"/>
        </w:rPr>
        <w:t>在雪灾、地质灾害等极端突发事件中，航空器可快速开展灾情勘察、物资投送、伤员转运，打通高原应急救援“生命通道”；常态化开展草场监测、野生动物巡护、草原防火、矿产监管、边境巡查，筑牢全域生态与边防管控防线，战略刚需属性无可替代。自治区出台《通用航空发展规划（2021-2035年）》，构建“1+N”通航政策体系，统筹推进运输机场、通用机场、分布式起降点轮辐式布局，为那曲低空经济试点示范、场景规模化落地提供顶层制度支撑，产业战略定位清晰、政策顶层赋能力度持续加码。</w:t>
      </w:r>
    </w:p>
    <w:p w14:paraId="5077E054">
      <w:pPr>
        <w:spacing w:line="576" w:lineRule="exact"/>
        <w:ind w:firstLine="640" w:firstLineChars="200"/>
        <w:jc w:val="both"/>
        <w:outlineLvl w:val="2"/>
        <w:rPr>
          <w:rFonts w:ascii="Times New Roman" w:hAnsi="Times New Roman" w:eastAsia="方正仿宋简体" w:cs="方正仿宋简体"/>
          <w:bCs/>
          <w:sz w:val="32"/>
          <w:szCs w:val="28"/>
          <w:lang w:val="en-US" w:eastAsia="zh-CN"/>
        </w:rPr>
      </w:pPr>
      <w:bookmarkStart w:id="344" w:name="_Toc243241518"/>
      <w:r>
        <w:rPr>
          <w:rFonts w:hint="eastAsia" w:ascii="Times New Roman" w:hAnsi="Times New Roman" w:eastAsia="方正仿宋简体" w:cs="方正仿宋简体"/>
          <w:bCs/>
          <w:sz w:val="32"/>
          <w:szCs w:val="28"/>
          <w:lang w:val="en-US" w:eastAsia="zh-CN"/>
        </w:rPr>
        <w:t>2</w:t>
      </w:r>
      <w:r>
        <w:rPr>
          <w:rFonts w:hint="eastAsia" w:ascii="Times New Roman" w:hAnsi="Times New Roman" w:eastAsia="方正仿宋简体" w:cs="方正仿宋简体"/>
          <w:bCs/>
          <w:sz w:val="32"/>
          <w:szCs w:val="28"/>
          <w:lang w:eastAsia="zh-CN"/>
        </w:rPr>
        <w:t>．</w:t>
      </w:r>
      <w:r>
        <w:rPr>
          <w:rFonts w:hint="eastAsia" w:ascii="Times New Roman" w:hAnsi="Times New Roman" w:eastAsia="方正仿宋简体" w:cs="方正仿宋简体"/>
          <w:bCs/>
          <w:sz w:val="32"/>
          <w:szCs w:val="28"/>
          <w:lang w:val="en-US" w:eastAsia="zh-CN"/>
        </w:rPr>
        <w:t>科技创新属性鲜明，高新技术驱动产业迭代升级</w:t>
      </w:r>
      <w:bookmarkEnd w:id="344"/>
    </w:p>
    <w:p w14:paraId="21E5DD65">
      <w:pPr>
        <w:spacing w:line="576" w:lineRule="exact"/>
        <w:ind w:firstLine="640" w:firstLineChars="200"/>
        <w:jc w:val="both"/>
        <w:rPr>
          <w:rFonts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低空经济属于典型技术密集型新兴产业，以无人机整机、高原适配动力系统、5G+北斗低空智管平台、高海拔飞行测控技术为核心支撑，产学研协同创新空间充足。那曲市平均海拔4500米以上，低压、低温、大风的极端环境，是国内稀缺的航空器高原性能天然测试基地，北京远度互联ZT-120V无人机已在本地完成高海拔整机验收测试，可持续吸引航空研发机构落地，牵头制定高原机型运行、运维、管控专属行业标准。产业数字化底座持续夯实，全域布局低空智能管控平台，依托北斗高精度定位、5G通感一体化网络，破解高原远距离通信、低空飞行精准监管痛点；同步联动内地航空科研院所，攻关高原电动航空器、低温储能、智能自主巡检等核心技术，推动装备适配、运维标准、场景应用全链条技术创新。产业发展不依赖传统矿产、土地等资源消耗，以技术创新、服务输出、标准输出为核心价值，完全符合新质生产力培育导向，技术迭代将持续催生新产品、新模式、新业态。</w:t>
      </w:r>
    </w:p>
    <w:p w14:paraId="0A6B2E3B">
      <w:pPr>
        <w:spacing w:line="576" w:lineRule="exact"/>
        <w:ind w:firstLine="640" w:firstLineChars="200"/>
        <w:jc w:val="both"/>
        <w:outlineLvl w:val="2"/>
        <w:rPr>
          <w:rFonts w:ascii="Times New Roman" w:hAnsi="Times New Roman" w:eastAsia="方正仿宋简体" w:cs="方正仿宋简体"/>
          <w:bCs/>
          <w:sz w:val="32"/>
          <w:szCs w:val="28"/>
          <w:lang w:val="en-US" w:eastAsia="zh-CN"/>
        </w:rPr>
      </w:pPr>
      <w:bookmarkStart w:id="345" w:name="_Toc243241519"/>
      <w:r>
        <w:rPr>
          <w:rFonts w:hint="eastAsia" w:ascii="Times New Roman" w:hAnsi="Times New Roman" w:eastAsia="方正仿宋简体" w:cs="方正仿宋简体"/>
          <w:bCs/>
          <w:sz w:val="32"/>
          <w:szCs w:val="28"/>
          <w:lang w:val="en-US" w:eastAsia="zh-CN"/>
        </w:rPr>
        <w:t>3</w:t>
      </w:r>
      <w:r>
        <w:rPr>
          <w:rFonts w:hint="eastAsia" w:ascii="Times New Roman" w:hAnsi="Times New Roman" w:eastAsia="方正仿宋简体" w:cs="方正仿宋简体"/>
          <w:bCs/>
          <w:sz w:val="32"/>
          <w:szCs w:val="28"/>
          <w:lang w:eastAsia="zh-CN"/>
        </w:rPr>
        <w:t>．</w:t>
      </w:r>
      <w:r>
        <w:rPr>
          <w:rFonts w:hint="eastAsia" w:ascii="Times New Roman" w:hAnsi="Times New Roman" w:eastAsia="方正仿宋简体" w:cs="方正仿宋简体"/>
          <w:bCs/>
          <w:sz w:val="32"/>
          <w:szCs w:val="28"/>
          <w:lang w:val="en-US" w:eastAsia="zh-CN"/>
        </w:rPr>
        <w:t>产业成长潜力充沛，中长期增长空间广阔</w:t>
      </w:r>
      <w:bookmarkEnd w:id="345"/>
    </w:p>
    <w:p w14:paraId="4CD94C4C">
      <w:pPr>
        <w:spacing w:line="576" w:lineRule="exact"/>
        <w:ind w:firstLine="640" w:firstLineChars="200"/>
        <w:jc w:val="both"/>
        <w:rPr>
          <w:rFonts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当前那曲市低空经济仍处于</w:t>
      </w:r>
      <w:bookmarkStart w:id="346" w:name="OLE_LINK190"/>
      <w:r>
        <w:rPr>
          <w:rFonts w:hint="eastAsia" w:ascii="Times New Roman" w:hAnsi="Times New Roman" w:eastAsia="方正仿宋简体" w:cs="方正仿宋简体"/>
          <w:bCs/>
          <w:sz w:val="32"/>
          <w:szCs w:val="28"/>
          <w:lang w:val="en-US" w:eastAsia="zh-CN"/>
        </w:rPr>
        <w:t>起步阶段</w:t>
      </w:r>
      <w:bookmarkEnd w:id="346"/>
      <w:r>
        <w:rPr>
          <w:rFonts w:hint="eastAsia" w:ascii="Times New Roman" w:hAnsi="Times New Roman" w:eastAsia="方正仿宋简体" w:cs="方正仿宋简体"/>
          <w:bCs/>
          <w:sz w:val="32"/>
          <w:szCs w:val="28"/>
          <w:lang w:val="en-US" w:eastAsia="zh-CN"/>
        </w:rPr>
        <w:t>，起降点网络、运营主体、常态化航线尚未全面铺开，产业产值、财税贡献、稳定就业规模相对有限，但市场刚需充足、增长逻辑清晰，中长期具备跨越式增长条件。物流领域，低空运输可将偏远牧区生鲜外运物流成本由20元/公斤大幅压降，打通农牧产品出山、生活物资进村双向通道；文旅领域依托羌塘草原、普若岗日冰川世界级高原景观，开发空中观光、航拍研学高端体验项目，开辟文旅消费全新细分赛道；牧业领域无人机规模化应用于草场巡查、牲畜盘点、植保作业，大幅降低牧民生产劳动成本。自治区设立专项航线奖励，轻小型无人机新航线年飞行超2000架次奖励30万元/条，中大型无人机年飞行超500架次奖励50万元/条，持续激励市场主体拓展常态化运营航线。随着起降基础设施、低空管控平台逐步建成、试点场景规模化复制，通航飞行时长、业务订单、市场营收将实现持续攀升，远期可形成高原低空运营、装备运维、场景服务协同发展的完整产业业态，增量释放周期长、增长上限高。</w:t>
      </w:r>
    </w:p>
    <w:p w14:paraId="4750E8A9">
      <w:pPr>
        <w:spacing w:line="576" w:lineRule="exact"/>
        <w:ind w:firstLine="640" w:firstLineChars="200"/>
        <w:jc w:val="both"/>
        <w:outlineLvl w:val="2"/>
        <w:rPr>
          <w:rFonts w:ascii="Times New Roman" w:hAnsi="Times New Roman" w:eastAsia="方正仿宋简体" w:cs="方正仿宋简体"/>
          <w:bCs/>
          <w:sz w:val="32"/>
          <w:szCs w:val="28"/>
          <w:lang w:val="en-US" w:eastAsia="zh-CN"/>
        </w:rPr>
      </w:pPr>
      <w:bookmarkStart w:id="347" w:name="_Toc243241520"/>
      <w:r>
        <w:rPr>
          <w:rFonts w:hint="eastAsia" w:ascii="Times New Roman" w:hAnsi="Times New Roman" w:eastAsia="方正仿宋简体" w:cs="方正仿宋简体"/>
          <w:bCs/>
          <w:sz w:val="32"/>
          <w:szCs w:val="28"/>
          <w:lang w:val="en-US" w:eastAsia="zh-CN"/>
        </w:rPr>
        <w:t>4</w:t>
      </w:r>
      <w:r>
        <w:rPr>
          <w:rFonts w:hint="eastAsia" w:ascii="Times New Roman" w:hAnsi="Times New Roman" w:eastAsia="方正仿宋简体" w:cs="方正仿宋简体"/>
          <w:bCs/>
          <w:sz w:val="32"/>
          <w:szCs w:val="28"/>
          <w:lang w:eastAsia="zh-CN"/>
        </w:rPr>
        <w:t>．</w:t>
      </w:r>
      <w:r>
        <w:rPr>
          <w:rFonts w:hint="eastAsia" w:ascii="Times New Roman" w:hAnsi="Times New Roman" w:eastAsia="方正仿宋简体" w:cs="方正仿宋简体"/>
          <w:bCs/>
          <w:sz w:val="32"/>
          <w:szCs w:val="28"/>
          <w:lang w:val="en-US" w:eastAsia="zh-CN"/>
        </w:rPr>
        <w:t>跨界融合赋能强劲，全方位撬动</w:t>
      </w:r>
      <w:bookmarkStart w:id="348" w:name="OLE_LINK164"/>
      <w:r>
        <w:rPr>
          <w:rFonts w:hint="eastAsia" w:ascii="Times New Roman" w:hAnsi="Times New Roman" w:eastAsia="方正仿宋简体" w:cs="方正仿宋简体"/>
          <w:bCs/>
          <w:sz w:val="32"/>
          <w:szCs w:val="28"/>
          <w:lang w:val="en-US" w:eastAsia="zh-CN"/>
        </w:rPr>
        <w:t>那曲</w:t>
      </w:r>
      <w:bookmarkEnd w:id="348"/>
      <w:r>
        <w:rPr>
          <w:rFonts w:hint="eastAsia" w:ascii="Times New Roman" w:hAnsi="Times New Roman" w:eastAsia="方正仿宋简体" w:cs="方正仿宋简体"/>
          <w:bCs/>
          <w:sz w:val="32"/>
          <w:szCs w:val="28"/>
          <w:lang w:val="en-US" w:eastAsia="zh-CN"/>
        </w:rPr>
        <w:t>特色产业升级</w:t>
      </w:r>
      <w:bookmarkEnd w:id="347"/>
    </w:p>
    <w:p w14:paraId="05FA6833">
      <w:pPr>
        <w:spacing w:line="576" w:lineRule="exact"/>
        <w:ind w:firstLine="640" w:firstLineChars="200"/>
        <w:jc w:val="both"/>
        <w:rPr>
          <w:rFonts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低空经济跨产业、跨领域联动属性突出，能够深度赋能那曲现有支柱、潜力产业迭代转型，形成“低空+”复合发展新模式。赋能高原特色畜牧业，推广无人机牧场巡检、牲畜管护、饲草喷洒数字化作业，推动传统粗放牧业向智慧生态牧业转型；赋能特色文旅产业，开发空中观光、盐湖低空研学、冰川航拍等沉浸式体验项目，丰富文旅产品供给、提升景区溢价；赋能天然饮用水、绿色矿产业，开展水源地空中监测、矿区生态巡查、物资低空转运，降低生产流通综合成本；赋能生态保护与边防管控，构建全域常态化空中巡查体系，提升生态监管、边境管控智能化水平；联动清洁能源产业，依托光伏、风电资源，为电动无人机、通航场站提供低成本绿色供电，打造零碳低空运行示范样板。同时创新“公司+合作社+牧户”本地化运营模式，推动低空服务下沉基层，打通产业融合、群众增收双向渠道，重塑</w:t>
      </w:r>
      <w:bookmarkStart w:id="349" w:name="OLE_LINK191"/>
      <w:r>
        <w:rPr>
          <w:rFonts w:hint="eastAsia" w:ascii="Times New Roman" w:hAnsi="Times New Roman" w:eastAsia="方正仿宋简体" w:cs="方正仿宋简体"/>
          <w:bCs/>
          <w:sz w:val="32"/>
          <w:szCs w:val="28"/>
          <w:lang w:val="en-US" w:eastAsia="zh-CN"/>
        </w:rPr>
        <w:t>产业</w:t>
      </w:r>
      <w:bookmarkEnd w:id="349"/>
      <w:r>
        <w:rPr>
          <w:rFonts w:hint="eastAsia" w:ascii="Times New Roman" w:hAnsi="Times New Roman" w:eastAsia="方正仿宋简体" w:cs="方正仿宋简体"/>
          <w:bCs/>
          <w:sz w:val="32"/>
          <w:szCs w:val="28"/>
          <w:lang w:val="en-US" w:eastAsia="zh-CN"/>
        </w:rPr>
        <w:t>协同发展格局。</w:t>
      </w:r>
    </w:p>
    <w:p w14:paraId="727C26F8">
      <w:pPr>
        <w:spacing w:line="576" w:lineRule="exact"/>
        <w:ind w:firstLine="640" w:firstLineChars="200"/>
        <w:jc w:val="both"/>
        <w:outlineLvl w:val="2"/>
        <w:rPr>
          <w:rFonts w:ascii="Times New Roman" w:hAnsi="Times New Roman" w:eastAsia="方正仿宋简体" w:cs="方正仿宋简体"/>
          <w:bCs/>
          <w:sz w:val="32"/>
          <w:szCs w:val="28"/>
          <w:lang w:val="en-US" w:eastAsia="zh-CN"/>
        </w:rPr>
      </w:pPr>
      <w:bookmarkStart w:id="350" w:name="_Toc243241521"/>
      <w:r>
        <w:rPr>
          <w:rFonts w:hint="eastAsia" w:ascii="Times New Roman" w:hAnsi="Times New Roman" w:eastAsia="方正仿宋简体" w:cs="方正仿宋简体"/>
          <w:bCs/>
          <w:sz w:val="32"/>
          <w:szCs w:val="28"/>
          <w:lang w:val="en-US" w:eastAsia="zh-CN"/>
        </w:rPr>
        <w:t>5</w:t>
      </w:r>
      <w:r>
        <w:rPr>
          <w:rFonts w:hint="eastAsia" w:ascii="Times New Roman" w:hAnsi="Times New Roman" w:eastAsia="方正仿宋简体" w:cs="方正仿宋简体"/>
          <w:bCs/>
          <w:sz w:val="32"/>
          <w:szCs w:val="28"/>
          <w:lang w:eastAsia="zh-CN"/>
        </w:rPr>
        <w:t>．</w:t>
      </w:r>
      <w:r>
        <w:rPr>
          <w:rFonts w:hint="eastAsia" w:ascii="Times New Roman" w:hAnsi="Times New Roman" w:eastAsia="方正仿宋简体" w:cs="方正仿宋简体"/>
          <w:bCs/>
          <w:sz w:val="32"/>
          <w:szCs w:val="28"/>
          <w:lang w:val="en-US" w:eastAsia="zh-CN"/>
        </w:rPr>
        <w:t>长期综合价值突出，绿色低碳引领区域产业转型方向</w:t>
      </w:r>
      <w:bookmarkEnd w:id="350"/>
    </w:p>
    <w:p w14:paraId="1FEFEC03">
      <w:pPr>
        <w:spacing w:line="576" w:lineRule="exact"/>
        <w:ind w:firstLine="640" w:firstLineChars="200"/>
        <w:jc w:val="both"/>
        <w:rPr>
          <w:rFonts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低空经济资源消耗低、生态扰动小、综合社会效益突出，契合高原绿色低碳发展底线，代表那曲产业长远转型核心方向。发展模式坚持精品化、特需型定位，摒弃大众化规模化扩张路径，聚焦应急救护、国土巡查、高原物流、生态监测等刚需场景，严格规避无序开发对高原脆弱生态造成扰动，实现生态保护、产业发展、民生改善协同。产业富民长效价值显著，随着低空场站运维、飞行作业、设备维修、航线运营等业态持续扩容，将培育飞行员、无人机操控、智能管控、航空维保等本土新型职业，持续吸纳青年群众、返乡大学生就近稳定就业，拓宽群众多元增收渠道。</w:t>
      </w:r>
      <w:bookmarkStart w:id="351" w:name="OLE_LINK192"/>
      <w:r>
        <w:rPr>
          <w:rFonts w:ascii="Times New Roman" w:hAnsi="Times New Roman" w:eastAsia="方正仿宋简体" w:cs="方正仿宋简体"/>
          <w:bCs/>
          <w:sz w:val="32"/>
          <w:szCs w:val="28"/>
          <w:lang w:eastAsia="zh-CN"/>
        </w:rPr>
        <w:t>从区域协同维度，那曲可依托高海拔测试、高原应急运营成熟经验，输出成套高原低空解决方案，</w:t>
      </w:r>
      <w:bookmarkStart w:id="352" w:name="OLE_LINK193"/>
      <w:r>
        <w:rPr>
          <w:rFonts w:ascii="Times New Roman" w:hAnsi="Times New Roman" w:eastAsia="方正仿宋简体" w:cs="方正仿宋简体"/>
          <w:bCs/>
          <w:sz w:val="32"/>
          <w:szCs w:val="28"/>
          <w:lang w:eastAsia="zh-CN"/>
        </w:rPr>
        <w:t>联动青海、新疆等青藏高原北缘高海拔区域开展产业协作，</w:t>
      </w:r>
      <w:bookmarkEnd w:id="352"/>
      <w:r>
        <w:rPr>
          <w:rFonts w:ascii="Times New Roman" w:hAnsi="Times New Roman" w:eastAsia="方正仿宋简体" w:cs="方正仿宋简体"/>
          <w:bCs/>
          <w:sz w:val="32"/>
          <w:szCs w:val="28"/>
          <w:lang w:eastAsia="zh-CN"/>
        </w:rPr>
        <w:t>打造藏北高原低空经济应用示范中心，长期巩固区域差异化产业竞争壁垒，持续培育</w:t>
      </w:r>
      <w:bookmarkStart w:id="353" w:name="OLE_LINK194"/>
      <w:r>
        <w:rPr>
          <w:rFonts w:ascii="Times New Roman" w:hAnsi="Times New Roman" w:eastAsia="方正仿宋简体" w:cs="方正仿宋简体"/>
          <w:bCs/>
          <w:sz w:val="32"/>
          <w:szCs w:val="28"/>
          <w:lang w:eastAsia="zh-CN"/>
        </w:rPr>
        <w:t>那曲</w:t>
      </w:r>
      <w:bookmarkEnd w:id="353"/>
      <w:r>
        <w:rPr>
          <w:rFonts w:ascii="Times New Roman" w:hAnsi="Times New Roman" w:eastAsia="方正仿宋简体" w:cs="方正仿宋简体"/>
          <w:bCs/>
          <w:sz w:val="32"/>
          <w:szCs w:val="28"/>
          <w:lang w:eastAsia="zh-CN"/>
        </w:rPr>
        <w:t>经济全新增长引擎。</w:t>
      </w:r>
      <w:bookmarkEnd w:id="351"/>
    </w:p>
    <w:p w14:paraId="523DE291">
      <w:pPr>
        <w:spacing w:line="576" w:lineRule="exact"/>
        <w:ind w:firstLine="640" w:firstLineChars="200"/>
        <w:jc w:val="both"/>
        <w:rPr>
          <w:rFonts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综上，那曲市低空经济产业战略定位突出、科技创新驱动特征显著、中长期成长空间广阔、产业融合赋能能力强劲、绿色可持续综合价值凸显，完全符合新兴战略产业五大评判标准。现阶段虽受高海拔运维成本、低空配套基建不足、专业技术人才短缺等因素制约，产业规模化发展仍需持续培育，但依托独一无二的高原应用场景、多层级政策资金扶持、清洁能源配套支撑、产学研创新资源加持，产业资源优势、场景优势、技术优势、政策优势将持续转化为长期竞争优势，是引领那曲产业结构优化、培育新质生产力、服务边疆长治久安的核心新兴战略产业。</w:t>
      </w:r>
    </w:p>
    <w:bookmarkEnd w:id="335"/>
    <w:bookmarkEnd w:id="339"/>
    <w:p w14:paraId="2B29A659">
      <w:pPr>
        <w:pStyle w:val="8"/>
        <w:keepNext w:val="0"/>
        <w:keepLines w:val="0"/>
        <w:pageBreakBefore w:val="0"/>
        <w:widowControl w:val="0"/>
        <w:kinsoku/>
        <w:wordWrap/>
        <w:overflowPunct w:val="0"/>
        <w:topLinePunct/>
        <w:autoSpaceDE/>
        <w:autoSpaceDN/>
        <w:bidi w:val="0"/>
        <w:adjustRightInd/>
        <w:snapToGrid/>
        <w:spacing w:before="0" w:line="576" w:lineRule="exact"/>
        <w:ind w:left="0" w:firstLine="640" w:firstLineChars="200"/>
        <w:jc w:val="both"/>
        <w:textAlignment w:val="auto"/>
        <w:outlineLvl w:val="1"/>
        <w:rPr>
          <w:rFonts w:ascii="Times New Roman" w:hAnsi="Times New Roman" w:eastAsia="方正楷体简体" w:cs="方正仿宋简体"/>
          <w:sz w:val="32"/>
          <w:szCs w:val="32"/>
          <w:lang w:eastAsia="zh-CN"/>
        </w:rPr>
      </w:pPr>
      <w:bookmarkStart w:id="354" w:name="_Toc243241522"/>
      <w:bookmarkStart w:id="355" w:name="_Toc218422274"/>
      <w:bookmarkStart w:id="356" w:name="OLE_LINK242"/>
      <w:r>
        <w:rPr>
          <w:rFonts w:hint="eastAsia" w:ascii="Times New Roman" w:hAnsi="Times New Roman" w:eastAsia="方正楷体简体" w:cs="方正仿宋简体"/>
          <w:sz w:val="32"/>
          <w:szCs w:val="32"/>
        </w:rPr>
        <w:t>（二）算力经济</w:t>
      </w:r>
      <w:bookmarkEnd w:id="354"/>
      <w:bookmarkEnd w:id="355"/>
    </w:p>
    <w:p w14:paraId="77DF7DB8">
      <w:pPr>
        <w:keepNext w:val="0"/>
        <w:keepLines w:val="0"/>
        <w:pageBreakBefore w:val="0"/>
        <w:widowControl w:val="0"/>
        <w:kinsoku/>
        <w:wordWrap/>
        <w:bidi w:val="0"/>
        <w:adjustRightInd/>
        <w:snapToGrid/>
        <w:spacing w:line="576" w:lineRule="exact"/>
        <w:ind w:firstLine="640" w:firstLineChars="200"/>
        <w:jc w:val="both"/>
        <w:textAlignment w:val="auto"/>
        <w:rPr>
          <w:rFonts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立足</w:t>
      </w:r>
      <w:bookmarkStart w:id="357" w:name="OLE_LINK195"/>
      <w:r>
        <w:rPr>
          <w:rFonts w:hint="eastAsia" w:ascii="Times New Roman" w:hAnsi="Times New Roman" w:eastAsia="方正仿宋简体" w:cs="方正仿宋简体"/>
          <w:bCs/>
          <w:sz w:val="32"/>
          <w:szCs w:val="28"/>
          <w:lang w:val="en-US" w:eastAsia="zh-CN"/>
        </w:rPr>
        <w:t>那曲</w:t>
      </w:r>
      <w:bookmarkEnd w:id="357"/>
      <w:r>
        <w:rPr>
          <w:rFonts w:hint="eastAsia" w:ascii="Times New Roman" w:hAnsi="Times New Roman" w:eastAsia="方正仿宋简体" w:cs="方正仿宋简体"/>
          <w:bCs/>
          <w:sz w:val="32"/>
          <w:szCs w:val="28"/>
          <w:lang w:val="en-US" w:eastAsia="zh-CN"/>
        </w:rPr>
        <w:t>资源禀赋、数字基建、政策布局与产业发展现状综合研判，算力经济深度契合国家“东数西算”工程、数字经济发展、新质生产力培育重大战略，依托高原天然冷源、全域清洁能源、全域数字底座、全产业数字化赋能四大核心特征，是引领那曲数字转型、打造高原特色数字节点、培育数字经济全新增长动能的新兴战略产业。当前产业尚处于节点布局、场景试点、生态培育起步阶段，算力产业规模、市场经营主体、完整产业链配套尚未成型，短期财税贡献、稳定就业承载能力有限，但技术迭代空间广阔、跨界融合能力突出、中长期增量释放潜力巨大，是补齐</w:t>
      </w:r>
      <w:bookmarkStart w:id="358" w:name="OLE_LINK161"/>
      <w:r>
        <w:rPr>
          <w:rFonts w:hint="eastAsia" w:ascii="Times New Roman" w:hAnsi="Times New Roman" w:eastAsia="方正仿宋简体" w:cs="方正仿宋简体"/>
          <w:bCs/>
          <w:sz w:val="32"/>
          <w:szCs w:val="28"/>
          <w:lang w:val="en-US" w:eastAsia="zh-CN"/>
        </w:rPr>
        <w:t>那曲</w:t>
      </w:r>
      <w:bookmarkEnd w:id="358"/>
      <w:r>
        <w:rPr>
          <w:rFonts w:hint="eastAsia" w:ascii="Times New Roman" w:hAnsi="Times New Roman" w:eastAsia="方正仿宋简体" w:cs="方正仿宋简体"/>
          <w:bCs/>
          <w:sz w:val="32"/>
          <w:szCs w:val="28"/>
          <w:lang w:val="en-US" w:eastAsia="zh-CN"/>
        </w:rPr>
        <w:t>数字基础设施短板、赋能全产业链智能化升级、构建西藏“算力珠峰”一体化网络的核心前沿产业。</w:t>
      </w:r>
    </w:p>
    <w:p w14:paraId="53E6F06E">
      <w:pPr>
        <w:spacing w:line="576" w:lineRule="exact"/>
        <w:ind w:firstLine="640" w:firstLineChars="200"/>
        <w:jc w:val="both"/>
        <w:outlineLvl w:val="2"/>
        <w:rPr>
          <w:rFonts w:ascii="Times New Roman" w:hAnsi="Times New Roman" w:eastAsia="方正仿宋简体" w:cs="方正仿宋简体"/>
          <w:bCs/>
          <w:sz w:val="32"/>
          <w:szCs w:val="28"/>
          <w:lang w:val="en-US" w:eastAsia="zh-CN"/>
        </w:rPr>
      </w:pPr>
      <w:bookmarkStart w:id="359" w:name="_Toc243241523"/>
      <w:r>
        <w:rPr>
          <w:rFonts w:hint="eastAsia" w:ascii="Times New Roman" w:hAnsi="Times New Roman" w:eastAsia="方正仿宋简体" w:cs="方正仿宋简体"/>
          <w:bCs/>
          <w:sz w:val="32"/>
          <w:szCs w:val="28"/>
          <w:lang w:val="en-US" w:eastAsia="zh-CN"/>
        </w:rPr>
        <w:t>1</w:t>
      </w:r>
      <w:r>
        <w:rPr>
          <w:rFonts w:hint="eastAsia" w:ascii="Times New Roman" w:hAnsi="Times New Roman" w:eastAsia="方正仿宋简体" w:cs="方正仿宋简体"/>
          <w:bCs/>
          <w:sz w:val="32"/>
          <w:szCs w:val="28"/>
          <w:lang w:eastAsia="zh-CN"/>
        </w:rPr>
        <w:t>．</w:t>
      </w:r>
      <w:r>
        <w:rPr>
          <w:rFonts w:hint="eastAsia" w:ascii="Times New Roman" w:hAnsi="Times New Roman" w:eastAsia="方正仿宋简体" w:cs="方正仿宋简体"/>
          <w:bCs/>
          <w:sz w:val="32"/>
          <w:szCs w:val="28"/>
          <w:lang w:val="en-US" w:eastAsia="zh-CN"/>
        </w:rPr>
        <w:t>战略定位层级突出，全面融入国家区域重大发展布局</w:t>
      </w:r>
      <w:bookmarkEnd w:id="359"/>
    </w:p>
    <w:p w14:paraId="5DA29E13">
      <w:pPr>
        <w:widowControl/>
        <w:spacing w:line="576" w:lineRule="exact"/>
        <w:ind w:firstLine="640" w:firstLineChars="200"/>
        <w:jc w:val="both"/>
        <w:rPr>
          <w:rFonts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算力经济是数字时代新型核心生产力，事关全国一体化算力网络布局、西部绿色低碳转型、边疆数字治理现代化多重战略任务，完整纳入国家“十五五”数字经济、“东数西算”顶层规划，是自治区、那曲市中长期产业体系重点布局的前沿赛道。按照西藏自治区《“算力珠峰”高质量发展行动计划（2024-2026年）》总体部署，明确将那曲定位为全区按需布局的边缘特色算力节点，统筹构建“藏中枢纽+各地边缘节点”互联互通、绿色集约的高原算力网络格局，承担东部离线数据存储、灾备备份、本地低时延行业计算等差异化功能，形成“东数西存、东数西训、本地智算”协同发展格局。那曲清洁能源建成装机114.68万千瓦，光伏、风电、水电供给稳定充足，叠加全域低温低湿天然冷源条件，天然适配绿色低碳算力发展导向，能够承接全国高耗能、非实时算力业务，助力全国算力体系降碳增效。同时，算力底座支撑智慧牧业、生态遥感监测、边境数字化管控、高原应急指挥等治边稳藏、生态保护核心工作，战略刚需属性突出，多层级规划持续加码政策资源，为产业落地发展提供坚实顶层制度保障。</w:t>
      </w:r>
    </w:p>
    <w:p w14:paraId="4297313E">
      <w:pPr>
        <w:spacing w:line="576" w:lineRule="exact"/>
        <w:ind w:firstLine="640" w:firstLineChars="200"/>
        <w:jc w:val="both"/>
        <w:outlineLvl w:val="2"/>
        <w:rPr>
          <w:rFonts w:ascii="Times New Roman" w:hAnsi="Times New Roman" w:eastAsia="方正仿宋简体" w:cs="方正仿宋简体"/>
          <w:bCs/>
          <w:sz w:val="32"/>
          <w:szCs w:val="28"/>
          <w:lang w:val="en-US" w:eastAsia="zh-CN"/>
        </w:rPr>
      </w:pPr>
      <w:bookmarkStart w:id="360" w:name="_Toc243241524"/>
      <w:r>
        <w:rPr>
          <w:rFonts w:hint="eastAsia" w:ascii="Times New Roman" w:hAnsi="Times New Roman" w:eastAsia="方正仿宋简体" w:cs="方正仿宋简体"/>
          <w:bCs/>
          <w:sz w:val="32"/>
          <w:szCs w:val="28"/>
          <w:lang w:val="en-US" w:eastAsia="zh-CN"/>
        </w:rPr>
        <w:t>2</w:t>
      </w:r>
      <w:r>
        <w:rPr>
          <w:rFonts w:hint="eastAsia" w:ascii="Times New Roman" w:hAnsi="Times New Roman" w:eastAsia="方正仿宋简体" w:cs="方正仿宋简体"/>
          <w:bCs/>
          <w:sz w:val="32"/>
          <w:szCs w:val="28"/>
          <w:lang w:eastAsia="zh-CN"/>
        </w:rPr>
        <w:t>．</w:t>
      </w:r>
      <w:r>
        <w:rPr>
          <w:rFonts w:hint="eastAsia" w:ascii="Times New Roman" w:hAnsi="Times New Roman" w:eastAsia="方正仿宋简体" w:cs="方正仿宋简体"/>
          <w:bCs/>
          <w:sz w:val="32"/>
          <w:szCs w:val="28"/>
          <w:lang w:val="en-US" w:eastAsia="zh-CN"/>
        </w:rPr>
        <w:t>科技创新属性鲜明，数字技术驱动产业迭代升级</w:t>
      </w:r>
      <w:bookmarkEnd w:id="360"/>
    </w:p>
    <w:p w14:paraId="3D48F868">
      <w:pPr>
        <w:widowControl/>
        <w:spacing w:line="576" w:lineRule="exact"/>
        <w:ind w:firstLine="640" w:firstLineChars="200"/>
        <w:jc w:val="both"/>
        <w:rPr>
          <w:rFonts w:ascii="Times New Roman" w:hAnsi="Times New Roman" w:eastAsia="方正仿宋简体" w:cs="方正仿宋简体"/>
          <w:bCs/>
          <w:sz w:val="32"/>
          <w:szCs w:val="28"/>
          <w:lang w:val="en-US" w:eastAsia="zh-CN"/>
        </w:rPr>
      </w:pPr>
      <w:bookmarkStart w:id="361" w:name="OLE_LINK196"/>
      <w:r>
        <w:rPr>
          <w:rFonts w:hint="eastAsia" w:ascii="Times New Roman" w:hAnsi="Times New Roman" w:eastAsia="方正仿宋简体" w:cs="方正仿宋简体"/>
          <w:bCs/>
          <w:sz w:val="32"/>
          <w:szCs w:val="28"/>
          <w:lang w:val="en-US" w:eastAsia="zh-CN"/>
        </w:rPr>
        <w:t>算力经济属于典型技术密集型新兴产业，以数据中心、智算集群、5G+北斗算网融合、高原算力适配技术、数据安全管控系统为核心支撑，产学研协同创新空间充足。那曲市依托高海拔低温洁净独特环境，具备打造高原绿色算力技术试验载体的天然条件，持续对接援藏省市科研院所，集中攻关高原数据中心节能散热、高寒设备运维、边缘计算低时延调度等专属技术，推动形成适配高原环境的数据中心建设、算力调度、安全运维地方标准，抢占高原算力领域标准话语权。数字基础设施底座持续夯实，</w:t>
      </w:r>
      <w:bookmarkEnd w:id="361"/>
      <w:r>
        <w:rPr>
          <w:rFonts w:hint="eastAsia" w:ascii="Times New Roman" w:hAnsi="Times New Roman" w:eastAsia="方正仿宋简体" w:cs="方正仿宋简体"/>
          <w:bCs/>
          <w:sz w:val="32"/>
          <w:szCs w:val="28"/>
          <w:lang w:val="en-US" w:eastAsia="zh-CN"/>
        </w:rPr>
        <w:t>2025年</w:t>
      </w:r>
      <w:r>
        <w:rPr>
          <w:rFonts w:hint="eastAsia" w:ascii="Times New Roman" w:hAnsi="Times New Roman" w:eastAsia="方正仿宋简体" w:cs="方正仿宋简体"/>
          <w:bCs/>
          <w:sz w:val="32"/>
          <w:szCs w:val="28"/>
          <w:lang w:eastAsia="zh-CN"/>
        </w:rPr>
        <w:t>全市通信光缆总长19.87万公里，固定互联网宽带接入用户达13.12万户，实现11个县（区）及114个乡镇驻地5G网络覆盖，依托全域通感一体化网络，支撑分布式边缘算力节点稳定运行。</w:t>
      </w:r>
      <w:r>
        <w:rPr>
          <w:rFonts w:hint="eastAsia" w:ascii="Times New Roman" w:hAnsi="Times New Roman" w:eastAsia="方正仿宋简体" w:cs="方正仿宋简体"/>
          <w:bCs/>
          <w:sz w:val="32"/>
          <w:szCs w:val="28"/>
          <w:lang w:val="en-US" w:eastAsia="zh-CN"/>
        </w:rPr>
        <w:t>产业发展不依赖传统矿产、土地等高消耗资源，以算力调度、数据服务、算法研发、数字化改造为核心价值，完全契合培育新质生产力发展方向，技术迭代将持续催生数据灾备、AI训练、行业数字化等新产品、新模式。</w:t>
      </w:r>
    </w:p>
    <w:p w14:paraId="336E824D">
      <w:pPr>
        <w:spacing w:line="576" w:lineRule="exact"/>
        <w:ind w:firstLine="640" w:firstLineChars="200"/>
        <w:jc w:val="both"/>
        <w:outlineLvl w:val="2"/>
        <w:rPr>
          <w:rFonts w:ascii="Times New Roman" w:hAnsi="Times New Roman" w:eastAsia="方正仿宋简体" w:cs="方正仿宋简体"/>
          <w:bCs/>
          <w:sz w:val="32"/>
          <w:szCs w:val="28"/>
          <w:lang w:val="en-US" w:eastAsia="zh-CN"/>
        </w:rPr>
      </w:pPr>
      <w:bookmarkStart w:id="362" w:name="_Toc243241525"/>
      <w:r>
        <w:rPr>
          <w:rFonts w:hint="eastAsia" w:ascii="Times New Roman" w:hAnsi="Times New Roman" w:eastAsia="方正仿宋简体" w:cs="方正仿宋简体"/>
          <w:bCs/>
          <w:sz w:val="32"/>
          <w:szCs w:val="28"/>
          <w:lang w:val="en-US" w:eastAsia="zh-CN"/>
        </w:rPr>
        <w:t>3</w:t>
      </w:r>
      <w:r>
        <w:rPr>
          <w:rFonts w:hint="eastAsia" w:ascii="Times New Roman" w:hAnsi="Times New Roman" w:eastAsia="方正仿宋简体" w:cs="方正仿宋简体"/>
          <w:bCs/>
          <w:sz w:val="32"/>
          <w:szCs w:val="28"/>
          <w:lang w:eastAsia="zh-CN"/>
        </w:rPr>
        <w:t>．</w:t>
      </w:r>
      <w:r>
        <w:rPr>
          <w:rFonts w:hint="eastAsia" w:ascii="Times New Roman" w:hAnsi="Times New Roman" w:eastAsia="方正仿宋简体" w:cs="方正仿宋简体"/>
          <w:bCs/>
          <w:sz w:val="32"/>
          <w:szCs w:val="28"/>
          <w:lang w:val="en-US" w:eastAsia="zh-CN"/>
        </w:rPr>
        <w:t>产业成长潜力充沛，中长期增长空间广阔</w:t>
      </w:r>
      <w:bookmarkEnd w:id="362"/>
    </w:p>
    <w:p w14:paraId="3189999E">
      <w:pPr>
        <w:widowControl/>
        <w:spacing w:line="576" w:lineRule="exact"/>
        <w:ind w:firstLine="640" w:firstLineChars="200"/>
        <w:jc w:val="both"/>
        <w:rPr>
          <w:rFonts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当前那曲算力经济仍处于基础设施落地、示范场景</w:t>
      </w:r>
      <w:bookmarkStart w:id="363" w:name="OLE_LINK198"/>
      <w:r>
        <w:rPr>
          <w:rFonts w:hint="eastAsia" w:ascii="Times New Roman" w:hAnsi="Times New Roman" w:eastAsia="方正仿宋简体" w:cs="方正仿宋简体"/>
          <w:bCs/>
          <w:sz w:val="32"/>
          <w:szCs w:val="28"/>
          <w:lang w:val="en-US" w:eastAsia="zh-CN"/>
        </w:rPr>
        <w:t>培育</w:t>
      </w:r>
      <w:bookmarkEnd w:id="363"/>
      <w:r>
        <w:rPr>
          <w:rFonts w:hint="eastAsia" w:ascii="Times New Roman" w:hAnsi="Times New Roman" w:eastAsia="方正仿宋简体" w:cs="方正仿宋简体"/>
          <w:bCs/>
          <w:sz w:val="32"/>
          <w:szCs w:val="28"/>
          <w:lang w:val="en-US" w:eastAsia="zh-CN"/>
        </w:rPr>
        <w:t>阶段，标准化算力集群、市场化运营主体、常态化算力交易体系尚未全面铺开，产业产值、财税贡献、规模化就业岗位相对有限，但资源成本优势显著、内外市场需求双向扩容，中长期具备跨越式增长条件。成本端依托全年长时自然冷却条件，数据中心PUE可降至1.1以下，综合能耗成本较内地降低30%以上，叠加大数据专项电价0.2—0.3元/千瓦时的优惠政策，形成极具竞争力的算力成本洼地，可大规模承接东部离线存储、离线分析、模型训练等外溢算力需求。随着内生需求持续释放，西藏数字经济年均增速保持14%以上，</w:t>
      </w:r>
      <w:bookmarkStart w:id="364" w:name="OLE_LINK199"/>
      <w:r>
        <w:rPr>
          <w:rFonts w:hint="eastAsia" w:ascii="Times New Roman" w:hAnsi="Times New Roman" w:eastAsia="方正仿宋简体" w:cs="方正仿宋简体"/>
          <w:bCs/>
          <w:sz w:val="32"/>
          <w:szCs w:val="28"/>
          <w:lang w:val="en-US" w:eastAsia="zh-CN"/>
        </w:rPr>
        <w:t>智慧</w:t>
      </w:r>
      <w:bookmarkEnd w:id="364"/>
      <w:r>
        <w:rPr>
          <w:rFonts w:hint="eastAsia" w:ascii="Times New Roman" w:hAnsi="Times New Roman" w:eastAsia="方正仿宋简体" w:cs="方正仿宋简体"/>
          <w:bCs/>
          <w:sz w:val="32"/>
          <w:szCs w:val="28"/>
          <w:lang w:val="en-US" w:eastAsia="zh-CN"/>
        </w:rPr>
        <w:t>牧场、全域生态监测、政务云平台、低空智能管控、文旅数字运营等数字化改造项目持续落地，本地低时延边缘算力需求稳步扩容。自治区配套算力专项扶持资金，对算力项目投资给予10%—15%建设补贴，持续引导市场主体布局算力节点、拓展算力服务业务。随着2000P智算节点全面投产、那曲数据分中心扩容升级、跨区域算力调度通道打通，算力上架规模、业务营收、服务订单将持续稳步攀升，远期可形成绿色算力存储、智算服务、数据标注、数字化改造协同配套的完整产业业态，长期增量释放周期长、产业增长上限高。</w:t>
      </w:r>
    </w:p>
    <w:p w14:paraId="06D70D7B">
      <w:pPr>
        <w:spacing w:line="576" w:lineRule="exact"/>
        <w:ind w:firstLine="640" w:firstLineChars="200"/>
        <w:jc w:val="both"/>
        <w:outlineLvl w:val="2"/>
        <w:rPr>
          <w:rFonts w:ascii="Times New Roman" w:hAnsi="Times New Roman" w:eastAsia="方正仿宋简体" w:cs="方正仿宋简体"/>
          <w:bCs/>
          <w:sz w:val="32"/>
          <w:szCs w:val="28"/>
          <w:lang w:val="en-US" w:eastAsia="zh-CN"/>
        </w:rPr>
      </w:pPr>
      <w:bookmarkStart w:id="365" w:name="_Toc243241526"/>
      <w:r>
        <w:rPr>
          <w:rFonts w:hint="eastAsia" w:ascii="Times New Roman" w:hAnsi="Times New Roman" w:eastAsia="方正仿宋简体" w:cs="方正仿宋简体"/>
          <w:bCs/>
          <w:sz w:val="32"/>
          <w:szCs w:val="28"/>
          <w:lang w:val="en-US" w:eastAsia="zh-CN"/>
        </w:rPr>
        <w:t>4</w:t>
      </w:r>
      <w:r>
        <w:rPr>
          <w:rFonts w:hint="eastAsia" w:ascii="Times New Roman" w:hAnsi="Times New Roman" w:eastAsia="方正仿宋简体" w:cs="方正仿宋简体"/>
          <w:bCs/>
          <w:sz w:val="32"/>
          <w:szCs w:val="28"/>
          <w:lang w:eastAsia="zh-CN"/>
        </w:rPr>
        <w:t>．</w:t>
      </w:r>
      <w:r>
        <w:rPr>
          <w:rFonts w:hint="eastAsia" w:ascii="Times New Roman" w:hAnsi="Times New Roman" w:eastAsia="方正仿宋简体" w:cs="方正仿宋简体"/>
          <w:bCs/>
          <w:sz w:val="32"/>
          <w:szCs w:val="28"/>
          <w:lang w:val="en-US" w:eastAsia="zh-CN"/>
        </w:rPr>
        <w:t>跨界融合赋能强劲，全方位撬动那曲特色产业升级</w:t>
      </w:r>
      <w:bookmarkEnd w:id="365"/>
    </w:p>
    <w:p w14:paraId="032CDB50">
      <w:pPr>
        <w:widowControl/>
        <w:spacing w:line="576" w:lineRule="exact"/>
        <w:ind w:firstLine="640" w:firstLineChars="200"/>
        <w:jc w:val="both"/>
        <w:rPr>
          <w:rFonts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算力经济跨行业、跨领域赋能属性突出，能够深度赋能那曲支柱、潜力产业数字化、智能化转型，构建“算力+N”复合发展新模式。赋能高原特色畜牧业，依托算力平台搭建牧场大数据系统，实现草场监测、牲畜溯源、产销数据智能分析，推动传统放牧向智慧生态牧业转型；赋能特色文旅产业，搭建文旅数字云平台，开发线上观光、数字文创、客流智能调度系统，丰富文旅数字化产品供给；赋能绿色矿产业、天然饮用水产业，搭建空中遥感数据算力底座，开展水源地、矿区常态化生态监测，降低产业生产流通综合管控成本；赋能低空经济产业，配套低空智管算力节点，支撑无人机航线调度、航拍数据实时解析、应急空中指挥；联动那曲清洁能源产业，打造“风光绿电+绿色算力”一体化示范项目，实现能源生产与算力消耗双向协同。同步创新援藏协同运营模式，联动浙江、辽宁、五大央企援藏资源引入头部数字企业，试点“算力平台+合作社+经营主体”下沉服务机制，打通产业数字化、群众增收双向渠道，重塑</w:t>
      </w:r>
      <w:bookmarkStart w:id="366" w:name="OLE_LINK160"/>
      <w:r>
        <w:rPr>
          <w:rFonts w:hint="eastAsia" w:ascii="Times New Roman" w:hAnsi="Times New Roman" w:eastAsia="方正仿宋简体" w:cs="方正仿宋简体"/>
          <w:bCs/>
          <w:sz w:val="32"/>
          <w:szCs w:val="28"/>
          <w:lang w:val="en-US" w:eastAsia="zh-CN"/>
        </w:rPr>
        <w:t>那曲</w:t>
      </w:r>
      <w:bookmarkEnd w:id="366"/>
      <w:r>
        <w:rPr>
          <w:rFonts w:hint="eastAsia" w:ascii="Times New Roman" w:hAnsi="Times New Roman" w:eastAsia="方正仿宋简体" w:cs="方正仿宋简体"/>
          <w:bCs/>
          <w:sz w:val="32"/>
          <w:szCs w:val="28"/>
          <w:lang w:val="en-US" w:eastAsia="zh-CN"/>
        </w:rPr>
        <w:t>产业协同发展格局。</w:t>
      </w:r>
    </w:p>
    <w:p w14:paraId="6AE6454E">
      <w:pPr>
        <w:spacing w:line="576" w:lineRule="exact"/>
        <w:ind w:firstLine="640" w:firstLineChars="200"/>
        <w:jc w:val="both"/>
        <w:outlineLvl w:val="2"/>
        <w:rPr>
          <w:rFonts w:ascii="Times New Roman" w:hAnsi="Times New Roman" w:eastAsia="方正仿宋简体" w:cs="方正仿宋简体"/>
          <w:bCs/>
          <w:sz w:val="32"/>
          <w:szCs w:val="28"/>
          <w:lang w:val="en-US" w:eastAsia="zh-CN"/>
        </w:rPr>
      </w:pPr>
      <w:bookmarkStart w:id="367" w:name="_Toc243241527"/>
      <w:r>
        <w:rPr>
          <w:rFonts w:hint="eastAsia" w:ascii="Times New Roman" w:hAnsi="Times New Roman" w:eastAsia="方正仿宋简体" w:cs="方正仿宋简体"/>
          <w:bCs/>
          <w:sz w:val="32"/>
          <w:szCs w:val="28"/>
          <w:lang w:val="en-US" w:eastAsia="zh-CN"/>
        </w:rPr>
        <w:t>5</w:t>
      </w:r>
      <w:r>
        <w:rPr>
          <w:rFonts w:hint="eastAsia" w:ascii="Times New Roman" w:hAnsi="Times New Roman" w:eastAsia="方正仿宋简体" w:cs="方正仿宋简体"/>
          <w:bCs/>
          <w:sz w:val="32"/>
          <w:szCs w:val="28"/>
          <w:lang w:eastAsia="zh-CN"/>
        </w:rPr>
        <w:t>．</w:t>
      </w:r>
      <w:r>
        <w:rPr>
          <w:rFonts w:hint="eastAsia" w:ascii="Times New Roman" w:hAnsi="Times New Roman" w:eastAsia="方正仿宋简体" w:cs="方正仿宋简体"/>
          <w:bCs/>
          <w:sz w:val="32"/>
          <w:szCs w:val="28"/>
          <w:lang w:val="en-US" w:eastAsia="zh-CN"/>
        </w:rPr>
        <w:t>长期综合价值突出，绿色低碳引领区域产业转型方向</w:t>
      </w:r>
      <w:bookmarkEnd w:id="367"/>
    </w:p>
    <w:p w14:paraId="1EFDB8DA">
      <w:pPr>
        <w:widowControl/>
        <w:spacing w:line="576" w:lineRule="exact"/>
        <w:ind w:firstLine="640" w:firstLineChars="200"/>
        <w:jc w:val="both"/>
        <w:rPr>
          <w:rFonts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算力经济资源消耗低、生态扰动小、综合经济社会效益突出，契合高原生态保护红线，代表那曲数字产业长远转型核心方向。产业坚持特色化、差异化节点定位，不盲目复制中东部大型算力枢纽扩张模式，聚焦数据灾备存储、高海拔行业边缘计算两大核心赛道，精准匹配区域资源承载能力，严格管控数据中心建设规模与能耗指标，实现生态保护、数字基建、产业发展协同统一。产业富民长效价值显著，随着算力机房运维、数据标注、网络技术服务、数字系统开发等业态持续扩容，将培育数字运维、网络工程师、数据标注师等本土新型职业，持续吸纳青年群众、返乡大学生就近稳定就业，拓宽群众数字领域多元增收渠道。从区域协同维度，那曲依托独有绿色算力成本优势，打造高原绿色算力特色品牌，依托援藏渠道对接东部算力采购市场，同步面向南亚拓展跨境数据存储、离线算力服务，打造藏北高原特色边缘算力示范节点，长期巩固区域差异化数字产业竞争壁垒，持续培育那曲数字经济全新增长引擎。</w:t>
      </w:r>
    </w:p>
    <w:p w14:paraId="06A942D0">
      <w:pPr>
        <w:widowControl/>
        <w:spacing w:line="576" w:lineRule="exact"/>
        <w:ind w:firstLine="640" w:firstLineChars="200"/>
        <w:jc w:val="both"/>
        <w:rPr>
          <w:rFonts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综上，那曲市算力经济产业战略定位突出、科技创新驱动特征显著、中长期成长空间广阔、产业融合赋能能力强劲、绿色低碳综合价值凸显，完全符合新兴战略产业五大评判标准。现阶段虽受本土数字专业人才短缺、跨区域直连带宽资源不足、本地规模化算力市场需求培育周期较长等高海拔客观因素制约，产业规模化发展仍需持续培育，但依托得天独厚的低温冷源、全域清洁能源供给、多层级政策资金扶持、援藏科创资源加持，产业资源优势、成本优势、技术优势、政策优势将持续转化为长期核心竞争优势，是引领那曲产业结构数字化优化、培育高原新质生产力、服务数字边疆建设的核心新兴战略产业。</w:t>
      </w:r>
    </w:p>
    <w:bookmarkEnd w:id="356"/>
    <w:p w14:paraId="2674E135">
      <w:pPr>
        <w:pStyle w:val="8"/>
        <w:overflowPunct w:val="0"/>
        <w:spacing w:before="0" w:line="576" w:lineRule="exact"/>
        <w:ind w:left="0" w:firstLine="640" w:firstLineChars="200"/>
        <w:jc w:val="both"/>
        <w:outlineLvl w:val="1"/>
        <w:rPr>
          <w:rFonts w:ascii="Times New Roman" w:hAnsi="Times New Roman" w:eastAsia="方正仿宋简体" w:cs="方正仿宋简体"/>
          <w:bCs/>
          <w:sz w:val="32"/>
          <w:szCs w:val="28"/>
          <w:lang w:eastAsia="zh-CN"/>
        </w:rPr>
      </w:pPr>
      <w:bookmarkStart w:id="368" w:name="_Toc218422275"/>
      <w:bookmarkStart w:id="369" w:name="_Toc243241528"/>
      <w:r>
        <w:rPr>
          <w:rFonts w:hint="eastAsia" w:ascii="方正楷体简体" w:hAnsi="方正楷体简体" w:eastAsia="方正楷体简体" w:cs="方正楷体简体"/>
          <w:sz w:val="32"/>
          <w:szCs w:val="32"/>
        </w:rPr>
        <w:t>（三）交通物流</w:t>
      </w:r>
      <w:bookmarkEnd w:id="368"/>
      <w:r>
        <w:rPr>
          <w:rFonts w:hint="eastAsia" w:ascii="方正楷体简体" w:hAnsi="方正楷体简体" w:eastAsia="方正楷体简体" w:cs="方正楷体简体"/>
          <w:sz w:val="32"/>
          <w:szCs w:val="32"/>
        </w:rPr>
        <w:t>产业</w:t>
      </w:r>
      <w:bookmarkEnd w:id="369"/>
    </w:p>
    <w:p w14:paraId="6CF07835">
      <w:pPr>
        <w:spacing w:line="576" w:lineRule="exact"/>
        <w:ind w:firstLine="640" w:firstLineChars="200"/>
        <w:jc w:val="both"/>
        <w:rPr>
          <w:rFonts w:ascii="Times New Roman" w:hAnsi="Times New Roman" w:eastAsia="方正仿宋简体" w:cs="方正仿宋简体"/>
          <w:bCs/>
          <w:sz w:val="32"/>
          <w:szCs w:val="28"/>
          <w:lang w:val="en-US" w:eastAsia="zh-CN"/>
        </w:rPr>
      </w:pPr>
      <w:bookmarkStart w:id="370" w:name="_Toc218422276"/>
      <w:r>
        <w:rPr>
          <w:rFonts w:hint="eastAsia" w:ascii="Times New Roman" w:hAnsi="Times New Roman" w:eastAsia="方正仿宋简体" w:cs="方正仿宋简体"/>
          <w:bCs/>
          <w:sz w:val="32"/>
          <w:szCs w:val="28"/>
          <w:lang w:val="en-US" w:eastAsia="zh-CN"/>
        </w:rPr>
        <w:t>立足那曲市域区位禀赋、交通基建、特色货源、政策布局与产业发展现状综合研判，现代物流经济深度契合国家治边稳藏、西部大开发、乡村振兴、面向南亚开放等重大战略部署，依托藏北核心交通枢纽区位、高原特色高价值货源、全域城乡配送网络、多层级政策资金扶持四大核心特征，是补齐高原物资流通短板、串联全市全产业链、筑牢区域应急保供底线、培育流通型新增长极的新兴战略产业。当前产业已完成枢纽载体搭建、城乡配送体系初步成型、特色冷链试点落地，但规模化中转集散业态、全链条数字化运营、跨境物流配套体系尚未完全成熟，短期大规模流通体量、综合财税贡献仍有提升空间，但供需刚性需求充沛、跨界联动能力突出、中长期扩容增效潜力巨大，是完善那曲现代化产业体系、保障民生供给、支撑边疆长治久安的关键前沿产业。</w:t>
      </w:r>
    </w:p>
    <w:p w14:paraId="60406DCE">
      <w:pPr>
        <w:spacing w:line="576" w:lineRule="exact"/>
        <w:ind w:firstLine="640" w:firstLineChars="200"/>
        <w:jc w:val="both"/>
        <w:outlineLvl w:val="2"/>
        <w:rPr>
          <w:rFonts w:ascii="Times New Roman" w:hAnsi="Times New Roman" w:eastAsia="方正仿宋简体" w:cs="方正仿宋简体"/>
          <w:bCs/>
          <w:sz w:val="32"/>
          <w:szCs w:val="28"/>
          <w:lang w:val="en-US" w:eastAsia="zh-CN"/>
        </w:rPr>
      </w:pPr>
      <w:bookmarkStart w:id="371" w:name="_Toc243241529"/>
      <w:r>
        <w:rPr>
          <w:rFonts w:hint="eastAsia" w:ascii="Times New Roman" w:hAnsi="Times New Roman" w:eastAsia="方正仿宋简体" w:cs="方正仿宋简体"/>
          <w:bCs/>
          <w:sz w:val="32"/>
          <w:szCs w:val="28"/>
          <w:lang w:val="en-US" w:eastAsia="zh-CN"/>
        </w:rPr>
        <w:t>1</w:t>
      </w:r>
      <w:r>
        <w:rPr>
          <w:rFonts w:hint="eastAsia" w:ascii="Times New Roman" w:hAnsi="Times New Roman" w:eastAsia="方正仿宋简体" w:cs="方正仿宋简体"/>
          <w:bCs/>
          <w:sz w:val="32"/>
          <w:szCs w:val="28"/>
          <w:lang w:eastAsia="zh-CN"/>
        </w:rPr>
        <w:t>．</w:t>
      </w:r>
      <w:r>
        <w:rPr>
          <w:rFonts w:hint="eastAsia" w:ascii="Times New Roman" w:hAnsi="Times New Roman" w:eastAsia="方正仿宋简体" w:cs="方正仿宋简体"/>
          <w:bCs/>
          <w:sz w:val="32"/>
          <w:szCs w:val="28"/>
          <w:lang w:val="en-US" w:eastAsia="zh-CN"/>
        </w:rPr>
        <w:t>战略定位层级突出，深度融入国家区域重大发展布局</w:t>
      </w:r>
      <w:bookmarkEnd w:id="371"/>
    </w:p>
    <w:p w14:paraId="22C16F0D">
      <w:pPr>
        <w:spacing w:line="576" w:lineRule="exact"/>
        <w:ind w:firstLine="640" w:firstLineChars="200"/>
        <w:jc w:val="both"/>
        <w:rPr>
          <w:rFonts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现代物流经济事关高原民生保障、特色产业外销、战略物资储备、边境安全管控多重核心任务，完整纳入国家西部大开发、乡村振兴、“一带一路”向西向南开放顶层规划，是自治区、那曲市中长期产业体系重点培育的流通型前沿赛道。那曲市作为西藏“北大门”，青藏铁路、国道109等主干交通干线贯通全域，公铁联运体系衔接青海、新疆、藏中、阿里等区域，是进藏生活物资集散、出藏高原特产中转的核心节点，承担区域物资双向流通关键职能。</w:t>
      </w:r>
      <w:bookmarkStart w:id="372" w:name="OLE_LINK200"/>
      <w:r>
        <w:rPr>
          <w:rFonts w:hint="eastAsia" w:ascii="Times New Roman" w:hAnsi="Times New Roman" w:eastAsia="方正仿宋简体" w:cs="方正仿宋简体"/>
          <w:bCs/>
          <w:sz w:val="32"/>
          <w:szCs w:val="28"/>
          <w:lang w:val="en-US" w:eastAsia="zh-CN"/>
        </w:rPr>
        <w:t>那曲地广人稀、群众居住分散，外来生活物资输入、牧区特色产品外销、雪灾地震等极端灾害应急物资调运均高度依赖现代物流体系，战略刚需属性无可替代。全市公路总里程达3.57万公里，县、乡、村公路通畅率分别达100%、96.64%、73.52%，叠加邮政、快递、农村客运一体化配送网络，为全域物资通达筑牢硬件基础。</w:t>
      </w:r>
      <w:bookmarkEnd w:id="372"/>
      <w:r>
        <w:rPr>
          <w:rFonts w:ascii="Times New Roman" w:hAnsi="Times New Roman" w:eastAsia="方正仿宋简体" w:cs="方正仿宋简体"/>
          <w:bCs/>
          <w:sz w:val="32"/>
          <w:szCs w:val="28"/>
          <w:lang w:val="en-US" w:eastAsia="zh-CN"/>
        </w:rPr>
        <w:t>那曲地广人稀、群众居住分散，外来生活物资输入、牧区特色产品外销、雪灾地震等极端灾害应急物资调运均高度依赖现代物流体系，战略刚需属性无可替代。</w:t>
      </w:r>
      <w:r>
        <w:rPr>
          <w:rFonts w:ascii="Times New Roman" w:hAnsi="Times New Roman" w:eastAsia="方正仿宋简体" w:cs="方正仿宋简体"/>
          <w:bCs/>
          <w:sz w:val="32"/>
          <w:szCs w:val="28"/>
          <w:lang w:eastAsia="zh-CN"/>
        </w:rPr>
        <w:t>全市公路总里程达3.57万公里，县、乡、村公路通畅率分别达100%、96.64%、73.52%，</w:t>
      </w:r>
      <w:r>
        <w:rPr>
          <w:rFonts w:ascii="Times New Roman" w:hAnsi="Times New Roman" w:eastAsia="方正仿宋简体" w:cs="方正仿宋简体"/>
          <w:bCs/>
          <w:sz w:val="32"/>
          <w:szCs w:val="28"/>
          <w:lang w:val="en-US" w:eastAsia="zh-CN"/>
        </w:rPr>
        <w:t>同步推进邮政、快递、农村客运客货邮融合配送体系建设，为全域物资通达筑牢硬件基础。</w:t>
      </w:r>
    </w:p>
    <w:p w14:paraId="71CDF8D2">
      <w:pPr>
        <w:spacing w:line="576" w:lineRule="exact"/>
        <w:ind w:firstLine="640" w:firstLineChars="200"/>
        <w:jc w:val="both"/>
        <w:rPr>
          <w:rFonts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自治区持续出台农牧区寄递物流配套专项方案，统筹推进藏北物流枢纽扩容、冷链仓储网点布局，将那曲物流经济纳入全区流通体系核心布局，多层级规划持续倾斜资源，为产业规模化、特色化、应急化发展提供坚实制度保障。</w:t>
      </w:r>
    </w:p>
    <w:p w14:paraId="05CF8BDA">
      <w:pPr>
        <w:spacing w:line="576" w:lineRule="exact"/>
        <w:ind w:firstLine="640" w:firstLineChars="200"/>
        <w:jc w:val="both"/>
        <w:outlineLvl w:val="2"/>
        <w:rPr>
          <w:rFonts w:ascii="Times New Roman" w:hAnsi="Times New Roman" w:eastAsia="方正仿宋简体" w:cs="方正仿宋简体"/>
          <w:bCs/>
          <w:sz w:val="32"/>
          <w:szCs w:val="28"/>
          <w:lang w:val="en-US" w:eastAsia="zh-CN"/>
        </w:rPr>
      </w:pPr>
      <w:bookmarkStart w:id="373" w:name="_Toc243241530"/>
      <w:r>
        <w:rPr>
          <w:rFonts w:hint="eastAsia" w:ascii="Times New Roman" w:hAnsi="Times New Roman" w:eastAsia="方正仿宋简体" w:cs="方正仿宋简体"/>
          <w:bCs/>
          <w:sz w:val="32"/>
          <w:szCs w:val="28"/>
          <w:lang w:val="en-US" w:eastAsia="zh-CN"/>
        </w:rPr>
        <w:t>2</w:t>
      </w:r>
      <w:r>
        <w:rPr>
          <w:rFonts w:hint="eastAsia" w:ascii="Times New Roman" w:hAnsi="Times New Roman" w:eastAsia="方正仿宋简体" w:cs="方正仿宋简体"/>
          <w:bCs/>
          <w:sz w:val="32"/>
          <w:szCs w:val="28"/>
          <w:lang w:eastAsia="zh-CN"/>
        </w:rPr>
        <w:t>．</w:t>
      </w:r>
      <w:r>
        <w:rPr>
          <w:rFonts w:hint="eastAsia" w:ascii="Times New Roman" w:hAnsi="Times New Roman" w:eastAsia="方正仿宋简体" w:cs="方正仿宋简体"/>
          <w:bCs/>
          <w:sz w:val="32"/>
          <w:szCs w:val="28"/>
          <w:lang w:val="en-US" w:eastAsia="zh-CN"/>
        </w:rPr>
        <w:t>科技创新属性鲜明，数字智能技术驱动产业迭代升级</w:t>
      </w:r>
      <w:bookmarkEnd w:id="373"/>
    </w:p>
    <w:p w14:paraId="0634CB8B">
      <w:pPr>
        <w:spacing w:line="576" w:lineRule="exact"/>
        <w:ind w:firstLine="640" w:firstLineChars="200"/>
        <w:jc w:val="both"/>
        <w:rPr>
          <w:rFonts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现代物流经济属于数字化、智能化复合型新兴产业，以智慧仓储、智能分拣、北斗+5G全程溯源、高原适配冷链、新能源运输装备为核心技术支撑，产学研适配改造、数字化升级创新空间充足。全市持续推进物流全链条数字化改造，依托“5G+千兆光网+北斗”全域覆盖体系，搭建物流智能调度、货物全程可视化管控平台，在核心物流园区落地智能分拣、无人仓储等数字化设施，大幅提升车辆调度、仓储管理、货物溯源运行效率。针对高海拔低温、缺氧、运输损耗大等痛点，引进高原专用恒温、超低温冷藏运输装备，配套数字化温湿度实时监控系统，形成适配藏北环境的特色冷链技术体系，那曲虫草运输完好率稳定至99.8%，牦牛肉储运损耗率仅1.5%，技术适配优势显著。同步联动浙江、辽宁援藏科研资源，持续攻关高原新能源物流车、低成本蓄冷储运、末端智能配送等专项技术，逐步构建高原现代物流地方运行标准，以技术改造持续降低流通成本、提升服务品质，完全契合培育流通领域新质生产力发展方向。</w:t>
      </w:r>
    </w:p>
    <w:p w14:paraId="32714074">
      <w:pPr>
        <w:spacing w:line="576" w:lineRule="exact"/>
        <w:ind w:firstLine="640" w:firstLineChars="200"/>
        <w:jc w:val="both"/>
        <w:outlineLvl w:val="2"/>
        <w:rPr>
          <w:rFonts w:ascii="Times New Roman" w:hAnsi="Times New Roman" w:eastAsia="方正仿宋简体" w:cs="方正仿宋简体"/>
          <w:bCs/>
          <w:sz w:val="32"/>
          <w:szCs w:val="28"/>
          <w:lang w:val="en-US" w:eastAsia="zh-CN"/>
        </w:rPr>
      </w:pPr>
      <w:bookmarkStart w:id="374" w:name="_Toc243241531"/>
      <w:r>
        <w:rPr>
          <w:rFonts w:hint="eastAsia" w:ascii="Times New Roman" w:hAnsi="Times New Roman" w:eastAsia="方正仿宋简体" w:cs="方正仿宋简体"/>
          <w:bCs/>
          <w:sz w:val="32"/>
          <w:szCs w:val="28"/>
          <w:lang w:val="en-US" w:eastAsia="zh-CN"/>
        </w:rPr>
        <w:t>3</w:t>
      </w:r>
      <w:r>
        <w:rPr>
          <w:rFonts w:hint="eastAsia" w:ascii="Times New Roman" w:hAnsi="Times New Roman" w:eastAsia="方正仿宋简体" w:cs="方正仿宋简体"/>
          <w:bCs/>
          <w:sz w:val="32"/>
          <w:szCs w:val="28"/>
          <w:lang w:eastAsia="zh-CN"/>
        </w:rPr>
        <w:t>．</w:t>
      </w:r>
      <w:r>
        <w:rPr>
          <w:rFonts w:hint="eastAsia" w:ascii="Times New Roman" w:hAnsi="Times New Roman" w:eastAsia="方正仿宋简体" w:cs="方正仿宋简体"/>
          <w:bCs/>
          <w:sz w:val="32"/>
          <w:szCs w:val="28"/>
          <w:lang w:val="en-US" w:eastAsia="zh-CN"/>
        </w:rPr>
        <w:t>产业成长潜力充沛，中长期增长空间广阔</w:t>
      </w:r>
      <w:bookmarkEnd w:id="374"/>
    </w:p>
    <w:p w14:paraId="3DC27B61">
      <w:pPr>
        <w:spacing w:line="576" w:lineRule="exact"/>
        <w:ind w:firstLine="640" w:firstLineChars="200"/>
        <w:jc w:val="both"/>
        <w:rPr>
          <w:rFonts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当前那曲市现代物流经济处于枢纽完善、冷链扩能、城乡配送提质的培育发展阶段，大型中转集散业态、跨境物流业务、规模化物流市场主体尚未全面铺开，产业整体营收、稳定就业规模仍在持续扩容过程中，但内外双向流通需求刚性充足，中长期具备跨越式增长条件。货源端支撑强劲，2025年全市那曲冬虫夏草产量2.94万公斤，肉奶总产量分别突破10万吨，高附加值特色农牧产品持续释放冷链物流刚需；依托“快递+农特产品”发展模式，特色产品线上线下累计销售额超40亿元，外销流通需求持续扩张。成本端政策红利持续释放，落实</w:t>
      </w:r>
      <w:bookmarkStart w:id="375" w:name="OLE_LINK203"/>
      <w:r>
        <w:rPr>
          <w:rFonts w:hint="eastAsia" w:ascii="Times New Roman" w:hAnsi="Times New Roman" w:eastAsia="方正仿宋简体" w:cs="方正仿宋简体"/>
          <w:bCs/>
          <w:sz w:val="32"/>
          <w:szCs w:val="28"/>
          <w:lang w:val="en-US" w:eastAsia="zh-CN"/>
        </w:rPr>
        <w:t>那曲冬虫夏草</w:t>
      </w:r>
      <w:bookmarkEnd w:id="375"/>
      <w:r>
        <w:rPr>
          <w:rFonts w:hint="eastAsia" w:ascii="Times New Roman" w:hAnsi="Times New Roman" w:eastAsia="方正仿宋简体" w:cs="方正仿宋简体"/>
          <w:bCs/>
          <w:sz w:val="32"/>
          <w:szCs w:val="28"/>
          <w:lang w:val="en-US" w:eastAsia="zh-CN"/>
        </w:rPr>
        <w:t>寄递单票最高120元专项补贴，邮快合作模式推动那曲冬虫夏草寄递成本下降35%，绿电直供冷链仓储使运营成本较内地低20%以上，多重利好持续吸引市场主体入驻。那曲核心综合物流区规划总面积8000亩，远期扩容2000亩以上，同步布局5万吨级专业冷链仓储设施，随着仓储加工、分拨配送、电商展销一体化业态逐步成型，物流货物吞吐量、业务营收、配套服务规模将持续攀升，远期形成集内陆输入、特产外销、应急储备、跨境流通于一体的现代化物流产业集群，长期增量释放周期长、产业增长上限高。</w:t>
      </w:r>
    </w:p>
    <w:p w14:paraId="69041EE3">
      <w:pPr>
        <w:spacing w:line="576" w:lineRule="exact"/>
        <w:ind w:firstLine="640" w:firstLineChars="200"/>
        <w:jc w:val="both"/>
        <w:outlineLvl w:val="2"/>
        <w:rPr>
          <w:rFonts w:ascii="Times New Roman" w:hAnsi="Times New Roman" w:eastAsia="方正仿宋简体" w:cs="方正仿宋简体"/>
          <w:bCs/>
          <w:sz w:val="32"/>
          <w:szCs w:val="28"/>
          <w:lang w:val="en-US" w:eastAsia="zh-CN"/>
        </w:rPr>
      </w:pPr>
      <w:bookmarkStart w:id="376" w:name="_Toc243241532"/>
      <w:r>
        <w:rPr>
          <w:rFonts w:hint="eastAsia" w:ascii="Times New Roman" w:hAnsi="Times New Roman" w:eastAsia="方正仿宋简体" w:cs="方正仿宋简体"/>
          <w:bCs/>
          <w:sz w:val="32"/>
          <w:szCs w:val="28"/>
          <w:lang w:val="en-US" w:eastAsia="zh-CN"/>
        </w:rPr>
        <w:t>4</w:t>
      </w:r>
      <w:r>
        <w:rPr>
          <w:rFonts w:hint="eastAsia" w:ascii="Times New Roman" w:hAnsi="Times New Roman" w:eastAsia="方正仿宋简体" w:cs="方正仿宋简体"/>
          <w:bCs/>
          <w:sz w:val="32"/>
          <w:szCs w:val="28"/>
          <w:lang w:eastAsia="zh-CN"/>
        </w:rPr>
        <w:t>．</w:t>
      </w:r>
      <w:r>
        <w:rPr>
          <w:rFonts w:hint="eastAsia" w:ascii="Times New Roman" w:hAnsi="Times New Roman" w:eastAsia="方正仿宋简体" w:cs="方正仿宋简体"/>
          <w:bCs/>
          <w:sz w:val="32"/>
          <w:szCs w:val="28"/>
          <w:lang w:val="en-US" w:eastAsia="zh-CN"/>
        </w:rPr>
        <w:t>跨界融合赋能强劲，全方位撬动那曲特色产业提质升级</w:t>
      </w:r>
      <w:bookmarkEnd w:id="376"/>
    </w:p>
    <w:p w14:paraId="5E21E4D2">
      <w:pPr>
        <w:spacing w:line="576" w:lineRule="exact"/>
        <w:ind w:firstLine="640" w:firstLineChars="200"/>
        <w:jc w:val="both"/>
        <w:rPr>
          <w:rFonts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现代物流经济跨行业、跨领域串联赋能属性突出，能够深度联动全市支柱、潜力、新兴产业构建“物流+N”复合发展新模式。赋能高原特色畜牧业，依托专业冷链打通牛羊肉、奶制品、那曲冬虫夏草等产品外销通道，大幅降低储运损耗、提升产品市场溢价，拓宽牧民增收渠道；赋能特色文旅产业，搭建文旅配套物资配送、文创产品寄递、游客配套物资供应物流体系，完善文旅全链条配套服务；赋能天然饮用水、绿色矿产业，承担水源地物资输送、矿产品原料及成品外运、园区生产物料保供职能，降低产业综合流通成本；赋能低空经济、算力经济，配套物流场站物资转运、低空装备零部件配送、数字设备运维物资供应，形成产业协同配套；联动</w:t>
      </w:r>
      <w:bookmarkStart w:id="377" w:name="OLE_LINK159"/>
      <w:r>
        <w:rPr>
          <w:rFonts w:hint="eastAsia" w:ascii="Times New Roman" w:hAnsi="Times New Roman" w:eastAsia="方正仿宋简体" w:cs="方正仿宋简体"/>
          <w:bCs/>
          <w:sz w:val="32"/>
          <w:szCs w:val="28"/>
          <w:lang w:val="en-US" w:eastAsia="zh-CN"/>
        </w:rPr>
        <w:t>那曲</w:t>
      </w:r>
      <w:bookmarkEnd w:id="377"/>
      <w:r>
        <w:rPr>
          <w:rFonts w:hint="eastAsia" w:ascii="Times New Roman" w:hAnsi="Times New Roman" w:eastAsia="方正仿宋简体" w:cs="方正仿宋简体"/>
          <w:bCs/>
          <w:sz w:val="32"/>
          <w:szCs w:val="28"/>
          <w:lang w:val="en-US" w:eastAsia="zh-CN"/>
        </w:rPr>
        <w:t>清洁能源产业，推广光伏风电直供冷链仓储，规模化投放新能源物流运输车辆，打造绿色低碳物流示范样板。同步推行“园区运营公司+农牧民专业合作社+家庭牧场”协同运营模式，依托1616家农牧民专业合作社、3734户家庭牧场稳定货源供给，推动物流服务下沉基层牧区，实现产业融合发展、群众稳定增收双向赋能，重塑那曲产业协同流通发展格局。</w:t>
      </w:r>
    </w:p>
    <w:p w14:paraId="55543DE1">
      <w:pPr>
        <w:spacing w:line="576" w:lineRule="exact"/>
        <w:ind w:firstLine="640" w:firstLineChars="200"/>
        <w:jc w:val="both"/>
        <w:outlineLvl w:val="2"/>
        <w:rPr>
          <w:rFonts w:ascii="Times New Roman" w:hAnsi="Times New Roman" w:eastAsia="方正仿宋简体" w:cs="方正仿宋简体"/>
          <w:bCs/>
          <w:sz w:val="32"/>
          <w:szCs w:val="28"/>
          <w:lang w:val="en-US" w:eastAsia="zh-CN"/>
        </w:rPr>
      </w:pPr>
      <w:bookmarkStart w:id="378" w:name="_Toc243241533"/>
      <w:r>
        <w:rPr>
          <w:rFonts w:hint="eastAsia" w:ascii="Times New Roman" w:hAnsi="Times New Roman" w:eastAsia="方正仿宋简体" w:cs="方正仿宋简体"/>
          <w:bCs/>
          <w:sz w:val="32"/>
          <w:szCs w:val="28"/>
          <w:lang w:val="en-US" w:eastAsia="zh-CN"/>
        </w:rPr>
        <w:t>5</w:t>
      </w:r>
      <w:r>
        <w:rPr>
          <w:rFonts w:hint="eastAsia" w:ascii="Times New Roman" w:hAnsi="Times New Roman" w:eastAsia="方正仿宋简体" w:cs="方正仿宋简体"/>
          <w:bCs/>
          <w:sz w:val="32"/>
          <w:szCs w:val="28"/>
          <w:lang w:eastAsia="zh-CN"/>
        </w:rPr>
        <w:t>．</w:t>
      </w:r>
      <w:r>
        <w:rPr>
          <w:rFonts w:hint="eastAsia" w:ascii="Times New Roman" w:hAnsi="Times New Roman" w:eastAsia="方正仿宋简体" w:cs="方正仿宋简体"/>
          <w:bCs/>
          <w:sz w:val="32"/>
          <w:szCs w:val="28"/>
          <w:lang w:val="en-US" w:eastAsia="zh-CN"/>
        </w:rPr>
        <w:t>长期综合价值突出，绿色低碳引领区域流通产业转型方向</w:t>
      </w:r>
      <w:bookmarkEnd w:id="378"/>
    </w:p>
    <w:p w14:paraId="1BD6C8AB">
      <w:pPr>
        <w:spacing w:line="576" w:lineRule="exact"/>
        <w:ind w:firstLine="640" w:firstLineChars="200"/>
        <w:jc w:val="both"/>
        <w:rPr>
          <w:rFonts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现代物流经济流通带动效应强、资源集约利用水平高、综合民生与战略价值突出，严守高原生态保护红线，坚持“应急性、专业性、特色化”发展路径，摒弃东部地区大流通、大中转同质化扩张模式，精准匹配藏北地广人稀、生态脆弱的发展实际，是引领那曲市流通产业长远转型的核心方向。产业民生保障价值凸显，高效物流体系能够平抑外来生活物资物价、打通牧区配送“最后一公里”，持续改善偏远群众生产生活条件；应急保供价值关键，完善的仓储分拨、快速调运体系可在雪灾等突发场景快速投送救灾物资、转运群众，筑牢区域安全防线。产业富民长效潜力充足，随着冷链运维、智能分拣、干线运输、末端配送等业态持续扩容，可新增1000个以上稳定本地就业岗位，依托特产外销物流溢价，预计带动牧民年均增收1.2万元以上，持续吸纳本地青年、返乡劳动力就近就业创业。从区域协同维度，那曲市依托公铁联运独特区位，持续深化与格尔木、拉萨等城市物流联动，依托援藏渠道对接内地广阔消费市场，稳步探索面向南亚跨境物流布局，打造藏北高原特色物流区域公共品牌，长期巩固区域差异化流通产业竞争壁垒，持续培育那曲流通领域全新经济增长引擎。</w:t>
      </w:r>
    </w:p>
    <w:p w14:paraId="19DCF920">
      <w:pPr>
        <w:spacing w:line="576" w:lineRule="exact"/>
        <w:ind w:firstLine="640" w:firstLineChars="200"/>
        <w:jc w:val="both"/>
        <w:rPr>
          <w:rFonts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综上，那曲市现代物流经济产业战略定位突出、数字智能创新驱动特征显著、中长期扩容增效空间广阔、全产业链融合赋能能力强劲、绿色低碳惠民综合价值凸显，符合新兴战略产业五大评判标准。现阶段虽受高海拔运营成本偏高、高端物流专业人才短缺、跨境物流配套不完善、冷链标准体系有待健全等客观因素制约，产业规模化发展仍需持续培育完善，但依托独一无二的藏北交通枢纽区位、高价值特色农牧货源、全域贯通的城乡交通网络、多层级政策资金扶持、援藏科创资源协同加持，产业区位优势、货源优势、成本优势、政策优势将持续转化为长期核心竞争优势，是完善那曲现代化特色产业体系、保障高原民生供给、筑牢边疆战略安全屏障、推动面向南亚开放合作的核心新兴战略产业。</w:t>
      </w:r>
    </w:p>
    <w:p w14:paraId="4D4E1285">
      <w:pPr>
        <w:widowControl/>
        <w:spacing w:line="576" w:lineRule="exact"/>
        <w:ind w:firstLine="640" w:firstLineChars="200"/>
        <w:jc w:val="both"/>
        <w:rPr>
          <w:rFonts w:ascii="Times New Roman" w:hAnsi="Times New Roman" w:eastAsia="方正仿宋简体" w:cs="方正仿宋简体"/>
          <w:bCs/>
          <w:sz w:val="32"/>
          <w:szCs w:val="32"/>
          <w:lang w:val="en-US" w:eastAsia="zh-CN"/>
        </w:rPr>
        <w:sectPr>
          <w:pgSz w:w="11906" w:h="16838"/>
          <w:pgMar w:top="2098" w:right="1474" w:bottom="1984" w:left="1587" w:header="851" w:footer="992" w:gutter="0"/>
          <w:pgNumType w:fmt="decimal"/>
          <w:cols w:space="425" w:num="1"/>
          <w:docGrid w:type="lines" w:linePitch="312" w:charSpace="0"/>
        </w:sectPr>
      </w:pPr>
    </w:p>
    <w:p w14:paraId="4729669C">
      <w:pPr>
        <w:pStyle w:val="27"/>
        <w:tabs>
          <w:tab w:val="left" w:pos="1248"/>
        </w:tabs>
        <w:topLinePunct/>
        <w:autoSpaceDE/>
        <w:autoSpaceDN/>
        <w:spacing w:line="576" w:lineRule="exact"/>
        <w:jc w:val="center"/>
        <w:outlineLvl w:val="0"/>
        <w:rPr>
          <w:rFonts w:ascii="Times New Roman" w:hAnsi="Times New Roman" w:eastAsia="方正小标宋简体" w:cs="方正仿宋简体"/>
          <w:b/>
          <w:spacing w:val="-2"/>
          <w:sz w:val="44"/>
          <w:szCs w:val="44"/>
        </w:rPr>
      </w:pPr>
      <w:bookmarkStart w:id="379" w:name="_Toc243241534"/>
      <w:r>
        <w:rPr>
          <w:rFonts w:hint="eastAsia" w:ascii="Times New Roman" w:hAnsi="Times New Roman" w:eastAsia="方正小标宋简体" w:cs="方正仿宋简体"/>
          <w:b/>
          <w:spacing w:val="-2"/>
          <w:sz w:val="44"/>
          <w:szCs w:val="44"/>
        </w:rPr>
        <w:t>第五章</w:t>
      </w:r>
      <w:r>
        <w:rPr>
          <w:rFonts w:hint="eastAsia" w:ascii="Times New Roman" w:hAnsi="Times New Roman" w:eastAsia="方正小标宋简体" w:cs="方正仿宋简体"/>
          <w:b/>
          <w:spacing w:val="-2"/>
          <w:sz w:val="44"/>
          <w:szCs w:val="44"/>
          <w:lang w:val="en-US" w:eastAsia="zh-CN"/>
        </w:rPr>
        <w:t xml:space="preserve"> 那曲市特色产业发展面临的问题</w:t>
      </w:r>
      <w:bookmarkEnd w:id="370"/>
      <w:bookmarkEnd w:id="379"/>
    </w:p>
    <w:p w14:paraId="1A5256E6">
      <w:pPr>
        <w:spacing w:line="576" w:lineRule="exact"/>
        <w:ind w:firstLine="640" w:firstLineChars="200"/>
        <w:jc w:val="both"/>
        <w:rPr>
          <w:rFonts w:ascii="Times New Roman" w:hAnsi="Times New Roman" w:eastAsia="方正黑体简体" w:cs="方正仿宋简体"/>
          <w:bCs/>
          <w:sz w:val="32"/>
          <w:szCs w:val="28"/>
          <w:lang w:val="en-US" w:eastAsia="zh-CN"/>
        </w:rPr>
      </w:pPr>
      <w:bookmarkStart w:id="380" w:name="_Toc218422277"/>
    </w:p>
    <w:p w14:paraId="63DC826E">
      <w:pPr>
        <w:pStyle w:val="8"/>
        <w:overflowPunct w:val="0"/>
        <w:topLinePunct/>
        <w:autoSpaceDE/>
        <w:autoSpaceDN/>
        <w:spacing w:before="0" w:line="576" w:lineRule="exact"/>
        <w:ind w:left="0" w:firstLine="640" w:firstLineChars="200"/>
        <w:jc w:val="both"/>
        <w:outlineLvl w:val="0"/>
        <w:rPr>
          <w:rFonts w:ascii="Times New Roman" w:hAnsi="Times New Roman" w:eastAsia="方正黑体简体" w:cs="方正仿宋简体"/>
          <w:sz w:val="32"/>
          <w:szCs w:val="32"/>
          <w:lang w:val="en-US" w:eastAsia="zh-CN"/>
        </w:rPr>
      </w:pPr>
      <w:bookmarkStart w:id="381" w:name="_Toc243241535"/>
      <w:bookmarkStart w:id="382" w:name="OLE_LINK14"/>
      <w:r>
        <w:rPr>
          <w:rFonts w:hint="eastAsia" w:ascii="Times New Roman" w:hAnsi="Times New Roman" w:eastAsia="方正黑体简体" w:cs="方正仿宋简体"/>
          <w:sz w:val="32"/>
          <w:szCs w:val="32"/>
          <w:lang w:val="en-US" w:eastAsia="zh-CN"/>
        </w:rPr>
        <w:t>一、内部发展瓶颈</w:t>
      </w:r>
      <w:bookmarkEnd w:id="380"/>
      <w:bookmarkEnd w:id="381"/>
    </w:p>
    <w:p w14:paraId="1D849DBD">
      <w:pPr>
        <w:spacing w:line="576" w:lineRule="exact"/>
        <w:ind w:firstLine="640" w:firstLineChars="200"/>
        <w:jc w:val="both"/>
        <w:rPr>
          <w:rFonts w:ascii="Times New Roman" w:hAnsi="Times New Roman" w:eastAsia="方正仿宋简体" w:cs="方正仿宋简体"/>
          <w:bCs/>
          <w:sz w:val="32"/>
          <w:szCs w:val="28"/>
          <w:lang w:val="en-US" w:eastAsia="zh-CN"/>
        </w:rPr>
      </w:pPr>
      <w:r>
        <w:rPr>
          <w:rFonts w:ascii="Times New Roman" w:hAnsi="Times New Roman" w:eastAsia="方正仿宋简体" w:cs="方正仿宋简体"/>
          <w:bCs/>
          <w:sz w:val="32"/>
          <w:szCs w:val="28"/>
          <w:lang w:val="en-US" w:eastAsia="zh-CN"/>
        </w:rPr>
        <w:t>当前，</w:t>
      </w:r>
      <w:r>
        <w:rPr>
          <w:rFonts w:hint="eastAsia" w:ascii="Times New Roman" w:hAnsi="Times New Roman" w:eastAsia="方正仿宋简体" w:cs="方正仿宋简体"/>
          <w:bCs/>
          <w:sz w:val="32"/>
          <w:szCs w:val="28"/>
          <w:lang w:val="en-US" w:eastAsia="zh-CN"/>
        </w:rPr>
        <w:t>那曲市</w:t>
      </w:r>
      <w:r>
        <w:rPr>
          <w:rFonts w:ascii="Times New Roman" w:hAnsi="Times New Roman" w:eastAsia="方正仿宋简体" w:cs="方正仿宋简体"/>
          <w:bCs/>
          <w:sz w:val="32"/>
          <w:szCs w:val="28"/>
          <w:lang w:val="en-US" w:eastAsia="zh-CN"/>
        </w:rPr>
        <w:t>特色产业体系稳步构建、多元业态持续培育，产业发展底盘不断夯实，但对照高原经济高质量发展要求和现代化特色产业体系建设</w:t>
      </w:r>
      <w:r>
        <w:rPr>
          <w:rFonts w:ascii="Times New Roman" w:hAnsi="Times New Roman" w:eastAsia="方正仿宋简体" w:cs="方正小标宋简体"/>
          <w:bCs/>
          <w:sz w:val="32"/>
          <w:szCs w:val="28"/>
          <w:lang w:val="en-US" w:eastAsia="zh-CN"/>
        </w:rPr>
        <w:t>目标</w:t>
      </w:r>
      <w:r>
        <w:rPr>
          <w:rFonts w:ascii="Times New Roman" w:hAnsi="Times New Roman" w:eastAsia="方正仿宋简体" w:cs="方正仿宋简体"/>
          <w:bCs/>
          <w:sz w:val="32"/>
          <w:szCs w:val="28"/>
          <w:lang w:val="en-US" w:eastAsia="zh-CN"/>
        </w:rPr>
        <w:t>，全市产业发展仍存在结构性短板、要素性制约、协同性不足、生态性约束等突出内部瓶颈，产业提质升级、迭代进阶面临多重内生压力。</w:t>
      </w:r>
    </w:p>
    <w:p w14:paraId="03A42518">
      <w:pPr>
        <w:pStyle w:val="8"/>
        <w:overflowPunct w:val="0"/>
        <w:topLinePunct/>
        <w:autoSpaceDE/>
        <w:autoSpaceDN/>
        <w:spacing w:before="0" w:line="576" w:lineRule="exact"/>
        <w:ind w:left="0" w:firstLine="640" w:firstLineChars="200"/>
        <w:jc w:val="both"/>
        <w:outlineLvl w:val="1"/>
        <w:rPr>
          <w:rFonts w:ascii="Times New Roman" w:hAnsi="Times New Roman" w:eastAsia="方正楷体简体" w:cs="方正仿宋简体"/>
          <w:sz w:val="32"/>
          <w:szCs w:val="32"/>
        </w:rPr>
      </w:pPr>
      <w:bookmarkStart w:id="383" w:name="_Toc243241536"/>
      <w:r>
        <w:rPr>
          <w:rFonts w:ascii="Times New Roman" w:hAnsi="Times New Roman" w:eastAsia="方正楷体简体" w:cs="方正仿宋简体"/>
          <w:sz w:val="32"/>
          <w:szCs w:val="32"/>
        </w:rPr>
        <w:t>（一）产业结构层次不优，产业链条完整性不足</w:t>
      </w:r>
      <w:bookmarkEnd w:id="383"/>
    </w:p>
    <w:p w14:paraId="4B2FBD7E">
      <w:pPr>
        <w:spacing w:line="576" w:lineRule="exact"/>
        <w:ind w:firstLine="640" w:firstLineChars="200"/>
        <w:jc w:val="both"/>
        <w:rPr>
          <w:rFonts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全市特色产业结构性矛盾较为突出，产业层级整体偏低、业态结构偏传统、新兴支撑偏弱，“传统产业独大、新兴产业偏弱、产业层级不高”的格局尚未根本扭转。从产业占比来看，2025年全市畜牧业在特色产业总产值中占比超五成，仍是那曲特色经济绝对核心支柱；清洁能源、文化旅游等新兴产业培育提速、占比稳步抬升，合计占比接近38%，但对整体经济的支柱支撑、增量拉动作用仍显不足，产业体系多元化、均衡化发展水平不高，整体抗市场波动、抗风险冲击能力较为薄弱。从产业链发展来看，各主导产业普遍存在“前端基础扎实、后端延伸不足、高附加值环节缺失”的断链短板，产业整体处于价值链中低端。高原农牧业以初级种养、原料输出为主，精深加工产能严重不足，全市牦牛产业精深加工产品占比仅12.7%，羊皮制品深加工率不足8%，保健品研发、食品精加工、文创衍生品开发等高附加值领域存在明显空白，产品增值空间未能有效释放。清洁能源产业存在产能与消纳、外送不匹配问题，色尼区达嘎普储能电站投运后，</w:t>
      </w:r>
      <w:bookmarkStart w:id="384" w:name="OLE_LINK204"/>
      <w:r>
        <w:rPr>
          <w:rFonts w:ascii="Times New Roman" w:hAnsi="Times New Roman" w:eastAsia="方正仿宋简体" w:cs="方正仿宋简体"/>
          <w:bCs/>
          <w:sz w:val="32"/>
          <w:szCs w:val="28"/>
          <w:lang w:eastAsia="zh-CN"/>
        </w:rPr>
        <w:t>受</w:t>
      </w:r>
      <w:r>
        <w:rPr>
          <w:rFonts w:hint="eastAsia" w:ascii="Times New Roman" w:hAnsi="Times New Roman" w:eastAsia="方正仿宋简体" w:cs="方正仿宋简体"/>
          <w:bCs/>
          <w:sz w:val="32"/>
          <w:szCs w:val="28"/>
          <w:lang w:val="en-US" w:eastAsia="zh-CN"/>
        </w:rPr>
        <w:t>本地消纳能力和</w:t>
      </w:r>
      <w:r>
        <w:rPr>
          <w:rFonts w:ascii="Times New Roman" w:hAnsi="Times New Roman" w:eastAsia="方正仿宋简体" w:cs="方正仿宋简体"/>
          <w:bCs/>
          <w:sz w:val="32"/>
          <w:szCs w:val="28"/>
          <w:lang w:eastAsia="zh-CN"/>
        </w:rPr>
        <w:t>电网网架约束，部分清洁能源装机发电能力未能充分释放，资源利用效能有待进一步提升。</w:t>
      </w:r>
      <w:bookmarkEnd w:id="384"/>
      <w:r>
        <w:rPr>
          <w:rFonts w:hint="eastAsia" w:ascii="Times New Roman" w:hAnsi="Times New Roman" w:eastAsia="方正仿宋简体" w:cs="方正仿宋简体"/>
          <w:bCs/>
          <w:sz w:val="32"/>
          <w:szCs w:val="28"/>
          <w:lang w:val="en-US" w:eastAsia="zh-CN"/>
        </w:rPr>
        <w:t>文旅产业产品结构单一，长期依赖传统草原观光业态，格萨尔文化、极地草原生态等特色资源挖掘不深，沉浸式体验、民俗研学、高端度假等新业态供给不足，全市民宿集群服务标准化率仅41%，难以匹配中高端文旅消费升级需求，产业提质增效动能不足。</w:t>
      </w:r>
    </w:p>
    <w:p w14:paraId="01857853">
      <w:pPr>
        <w:pStyle w:val="8"/>
        <w:overflowPunct w:val="0"/>
        <w:topLinePunct/>
        <w:autoSpaceDE/>
        <w:autoSpaceDN/>
        <w:spacing w:before="0" w:line="576" w:lineRule="exact"/>
        <w:ind w:left="0" w:firstLine="640" w:firstLineChars="200"/>
        <w:jc w:val="both"/>
        <w:outlineLvl w:val="1"/>
        <w:rPr>
          <w:rFonts w:ascii="Times New Roman" w:hAnsi="Times New Roman" w:eastAsia="方正楷体简体" w:cs="方正仿宋简体"/>
          <w:sz w:val="32"/>
          <w:szCs w:val="32"/>
        </w:rPr>
      </w:pPr>
      <w:bookmarkStart w:id="385" w:name="_Toc243241537"/>
      <w:r>
        <w:rPr>
          <w:rFonts w:ascii="Times New Roman" w:hAnsi="Times New Roman" w:eastAsia="方正楷体简体" w:cs="方正仿宋简体"/>
          <w:sz w:val="32"/>
          <w:szCs w:val="32"/>
        </w:rPr>
        <w:t>（二）核心要素供给紧缺，产业发展支撑能力薄弱</w:t>
      </w:r>
      <w:bookmarkEnd w:id="385"/>
    </w:p>
    <w:p w14:paraId="7865AAB1">
      <w:pPr>
        <w:spacing w:line="576" w:lineRule="exact"/>
        <w:ind w:firstLine="640" w:firstLineChars="200"/>
        <w:jc w:val="both"/>
        <w:rPr>
          <w:rFonts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人才、技术、资金等核心生产要素供给短缺，是制约那曲市特色产业规模化、标准化、高端化发展的关键内生短板，要素保障体系与产业高质量发展需求适配度不足。人才支撑层面，全市产业专业人才富集度偏低，人才短板问题突出，那曲产业领域专业人才密度仅5.3人/万人，远低于全区8.7人/万人的平均水平，人才结构性缺口显著。其中，畜产品加工技术人才缺口42%，清洁能源运维专业工程师缺口58%，文旅产品策划运营人才缺口高达65%。同时本地人才培育体系薄弱，属地职业院校相关专业年招生规模不足200人，本土人才造血能力不足，难以持续适配产业扩容发展需求。技术创新层面，传统产业技术迭代滞后，特色畜禽良种覆盖率虽达55%，但多数基层合作社仍沿用传统粗放种养殖模式，疫病科学防控、稳产增产、标准化饲养等先进技术普及不足。新兴产业核心技术对外依存度高，光伏储能运维、特色资源精深加工、有效成分提取等关键技术高度依赖外部团队，本地技术消化、创新转化、自主运维能力薄弱，产业技术自主可控水平不足。</w:t>
      </w:r>
      <w:bookmarkStart w:id="386" w:name="OLE_LINK205"/>
      <w:r>
        <w:rPr>
          <w:rFonts w:ascii="Times New Roman" w:hAnsi="Times New Roman" w:eastAsia="方正仿宋简体" w:cs="方正仿宋简体"/>
          <w:bCs/>
          <w:sz w:val="32"/>
          <w:szCs w:val="28"/>
          <w:lang w:val="en-US" w:eastAsia="zh-CN"/>
        </w:rPr>
        <w:t>资金保障层面，产业融资结构单一、渠道狭窄，中小微产业经营主体融资高度依托银行信贷，直接融资工具运用不足，多元化融资体系有待健全。</w:t>
      </w:r>
      <w:bookmarkEnd w:id="386"/>
      <w:r>
        <w:rPr>
          <w:rFonts w:hint="eastAsia" w:ascii="Times New Roman" w:hAnsi="Times New Roman" w:eastAsia="方正仿宋简体" w:cs="方正仿宋简体"/>
          <w:bCs/>
          <w:sz w:val="32"/>
          <w:szCs w:val="28"/>
          <w:lang w:val="en-US" w:eastAsia="zh-CN"/>
        </w:rPr>
        <w:t>受高海拔项目投资风险偏高、评估等级偏高等因素影响，产业贷款审批通过率仅56%，融资难、融资慢问题突出。2025年市级特色产业发展基金规模仅2.3亿元，资金体量有限，难以全面覆盖农牧合作社、中小微企业技改升级、业态创新、市场拓展的多元化资金需求。</w:t>
      </w:r>
    </w:p>
    <w:p w14:paraId="6F523E63">
      <w:pPr>
        <w:pStyle w:val="8"/>
        <w:overflowPunct w:val="0"/>
        <w:topLinePunct/>
        <w:autoSpaceDE/>
        <w:autoSpaceDN/>
        <w:spacing w:before="0" w:line="576" w:lineRule="exact"/>
        <w:ind w:left="0" w:firstLine="640" w:firstLineChars="200"/>
        <w:jc w:val="both"/>
        <w:outlineLvl w:val="1"/>
        <w:rPr>
          <w:rFonts w:ascii="Times New Roman" w:hAnsi="Times New Roman" w:eastAsia="方正楷体简体" w:cs="方正仿宋简体"/>
          <w:sz w:val="32"/>
          <w:szCs w:val="32"/>
        </w:rPr>
      </w:pPr>
      <w:bookmarkStart w:id="387" w:name="_Toc243241538"/>
      <w:r>
        <w:rPr>
          <w:rFonts w:ascii="Times New Roman" w:hAnsi="Times New Roman" w:eastAsia="方正楷体简体" w:cs="方正仿宋简体"/>
          <w:sz w:val="32"/>
          <w:szCs w:val="32"/>
        </w:rPr>
        <w:t>（三）资源统筹整合不足，同质化竞争问题凸显</w:t>
      </w:r>
      <w:bookmarkEnd w:id="387"/>
    </w:p>
    <w:p w14:paraId="41304B89">
      <w:pPr>
        <w:spacing w:line="576" w:lineRule="exact"/>
        <w:ind w:firstLine="640" w:firstLineChars="200"/>
        <w:jc w:val="both"/>
        <w:rPr>
          <w:rFonts w:ascii="Times New Roman" w:hAnsi="Times New Roman" w:eastAsia="方正仿宋简体" w:cs="方正仿宋简体"/>
          <w:bCs/>
          <w:sz w:val="32"/>
          <w:szCs w:val="28"/>
          <w:lang w:val="en-US" w:eastAsia="zh-CN"/>
        </w:rPr>
      </w:pPr>
      <w:bookmarkStart w:id="388" w:name="OLE_LINK158"/>
      <w:r>
        <w:rPr>
          <w:rFonts w:hint="eastAsia" w:ascii="Times New Roman" w:hAnsi="Times New Roman" w:eastAsia="方正仿宋简体" w:cs="方正仿宋简体"/>
          <w:bCs/>
          <w:sz w:val="32"/>
          <w:szCs w:val="28"/>
          <w:lang w:val="en-US" w:eastAsia="zh-CN"/>
        </w:rPr>
        <w:t>那曲</w:t>
      </w:r>
      <w:bookmarkEnd w:id="388"/>
      <w:r>
        <w:rPr>
          <w:rFonts w:hint="eastAsia" w:ascii="Times New Roman" w:hAnsi="Times New Roman" w:eastAsia="方正仿宋简体" w:cs="方正仿宋简体"/>
          <w:bCs/>
          <w:sz w:val="32"/>
          <w:szCs w:val="28"/>
          <w:lang w:val="en-US" w:eastAsia="zh-CN"/>
        </w:rPr>
        <w:t>各类特色资源统筹谋划、系统整合、联动开发力度不足，资源碎片化、业态分散化、发展同质化问题突出，产业集聚效应、融合效益未能充分释放。从资源协同来看，草场生态、民俗文化、清洁能源、特色矿产等优质资源分属不同主管部门管理，跨部门统筹协调、联动开发机制不健全，资源统筹利用效能偏低。农文旅、牧工贸融合层次较浅、联动机制不畅，文旅部门打造的草原精品线路与农牧体验项目衔接不足、各自为战，产业融合碎片化特征明显。2025年全市跨产业融合类项目营业收入占比仅11.7%，较上半年虽有小幅提升，但整体占比偏低，一二三产联动赋能、价值倍增效应未能有效凸显。从产业集聚来看，民族手工业以家庭小作坊分散生产为主，全市128家手工业经营主体中，仅17家实现规模化标准化生产，行业缺乏统一产品设计、质量标准和品牌体系，规模化、集群化、品牌化发展格局尚未形成。从区域协同来看，县域产业布局同质化问题突出，安多、聂荣等多个县域集中布局牦牛养殖等传统产业，产品多以初级肉品原料输出为主，差异化定位、特色化发展不足，家门口低价竞争、资源内耗现象明显，2025年那曲特色农牧产品平均利润率较上年下降4.3个百分点。文旅产业同质化问题同样显著，全市7个县（区）文旅产品均以常规草原观光为主，特色业态、独家IP培育不足，游客复游率仅18%，低于全区25%的平均水平，产业核心竞争力和持续吸引力偏弱。</w:t>
      </w:r>
    </w:p>
    <w:p w14:paraId="74CE8C13">
      <w:pPr>
        <w:pStyle w:val="8"/>
        <w:overflowPunct w:val="0"/>
        <w:topLinePunct/>
        <w:autoSpaceDE/>
        <w:autoSpaceDN/>
        <w:spacing w:before="0" w:line="576" w:lineRule="exact"/>
        <w:ind w:left="0" w:firstLine="640" w:firstLineChars="200"/>
        <w:jc w:val="both"/>
        <w:outlineLvl w:val="1"/>
        <w:rPr>
          <w:rFonts w:ascii="Times New Roman" w:hAnsi="Times New Roman" w:eastAsia="方正楷体简体" w:cs="方正仿宋简体"/>
          <w:sz w:val="32"/>
          <w:szCs w:val="32"/>
        </w:rPr>
      </w:pPr>
      <w:bookmarkStart w:id="389" w:name="_Toc243241539"/>
      <w:r>
        <w:rPr>
          <w:rFonts w:ascii="Times New Roman" w:hAnsi="Times New Roman" w:eastAsia="方正楷体简体" w:cs="方正仿宋简体"/>
          <w:sz w:val="32"/>
          <w:szCs w:val="32"/>
        </w:rPr>
        <w:t>（四）生态约束刚性趋紧，产业发展空间持续受限</w:t>
      </w:r>
      <w:bookmarkEnd w:id="389"/>
    </w:p>
    <w:p w14:paraId="32E0B5C8">
      <w:pPr>
        <w:spacing w:line="576" w:lineRule="exact"/>
        <w:ind w:firstLine="640" w:firstLineChars="200"/>
        <w:jc w:val="both"/>
        <w:rPr>
          <w:rFonts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那曲市作为青藏高原生态安全屏障核心区域，生态战略地位极高、生态基底极度脆弱，产业发展始终面临严格的生态保护刚性约束，发展空间、开发模式、建设标准受到严格管控。从空间约束来看，全市62%的国土空间划入生态保护红线，重大产业项目选址、布局、规模受到严格限制，清洁能源、绿色矿业等重点产业项目落地难度加大、建设周期拉长。以班戈县风能电站项目为例，受候鸟迁徙通道生态保护管控影响，3个原规划选址被迫调整，项目建设周期延长6至8个月，产业项目落地见效效率偏低。从发展管控来看，2025年《西藏自治区实施〈中华人民共和国青藏高原生态保护法〉办法》正式实施，那曲生态管控标准、环保准入门槛、治理管护要求全面收紧，产业生态投入成本持续攀升。畜牧产业严格落实草畜平衡制度，明确高寒草场每亩牦牛饲养量不超过0.8头的管控标准，全域持续压减超载存栏、优化畜群结构，抽样显示2025年合作社平均养殖规模较2024年压缩15%，短期内直接制约畜牧产业体量扩容。文旅产业受生态承载力刚性约束，纳木错等核心景区严格执行限流管控，单日游客接待上限仅2000人，2025年暑期因限流造成潜在经济损失约1200万元，产业短期扩容增收受限。从成本机制来看，生态修复、水土保持、环保配套等硬性投入持续增加，藏药材种植等产业因配套生态环保设施建设，生产成本增加18%—22%，部分中小经营主体因成本压力退出市场。同时，生态修复成本分摊、生态价值转化、企业生态激励机制尚不健全，市场主体主动参与生态保护、绿色转型的内生动力不足，生态保护与产业发展良性互动格局尚未完全形成。</w:t>
      </w:r>
    </w:p>
    <w:bookmarkEnd w:id="382"/>
    <w:p w14:paraId="71AA7D50">
      <w:pPr>
        <w:pStyle w:val="8"/>
        <w:overflowPunct w:val="0"/>
        <w:topLinePunct/>
        <w:autoSpaceDE/>
        <w:autoSpaceDN/>
        <w:spacing w:before="0" w:line="576" w:lineRule="exact"/>
        <w:ind w:left="0" w:firstLine="640" w:firstLineChars="200"/>
        <w:jc w:val="both"/>
        <w:outlineLvl w:val="0"/>
        <w:rPr>
          <w:rFonts w:ascii="Times New Roman" w:hAnsi="Times New Roman" w:eastAsia="方正黑体简体" w:cs="方正仿宋简体"/>
          <w:sz w:val="32"/>
          <w:szCs w:val="32"/>
          <w:lang w:val="en-US" w:eastAsia="zh-CN"/>
        </w:rPr>
      </w:pPr>
      <w:bookmarkStart w:id="390" w:name="_Toc243241540"/>
      <w:bookmarkStart w:id="391" w:name="_Toc218422282"/>
      <w:r>
        <w:rPr>
          <w:rFonts w:hint="eastAsia" w:ascii="Times New Roman" w:hAnsi="Times New Roman" w:eastAsia="方正黑体简体" w:cs="方正仿宋简体"/>
          <w:sz w:val="32"/>
          <w:szCs w:val="32"/>
          <w:lang w:val="en-US" w:eastAsia="zh-CN"/>
        </w:rPr>
        <w:t>二、外部环境压力</w:t>
      </w:r>
      <w:bookmarkEnd w:id="390"/>
      <w:bookmarkEnd w:id="391"/>
    </w:p>
    <w:p w14:paraId="34966717">
      <w:pPr>
        <w:spacing w:line="576" w:lineRule="exact"/>
        <w:ind w:firstLine="640" w:firstLineChars="200"/>
        <w:jc w:val="both"/>
        <w:rPr>
          <w:rFonts w:ascii="Times New Roman" w:hAnsi="Times New Roman" w:eastAsia="方正仿宋简体" w:cs="方正仿宋简体"/>
          <w:bCs/>
          <w:sz w:val="32"/>
          <w:szCs w:val="28"/>
          <w:lang w:val="en-US" w:eastAsia="zh-CN"/>
        </w:rPr>
      </w:pPr>
      <w:bookmarkStart w:id="392" w:name="_Toc218422284"/>
      <w:r>
        <w:rPr>
          <w:rFonts w:ascii="Times New Roman" w:hAnsi="Times New Roman" w:eastAsia="方正仿宋简体" w:cs="方正仿宋简体"/>
          <w:bCs/>
          <w:sz w:val="32"/>
          <w:szCs w:val="28"/>
          <w:lang w:val="en-US" w:eastAsia="zh-CN"/>
        </w:rPr>
        <w:t>当前，全市特色产业发展虽拥有国家、自治区多重战略政策加持，但在区域市场竞争、消费需求迭代、政策统筹落地、生态空间管控、对外基础设施联通等外部层面，仍面临多重刚性约束与系统性压力，外部制约因素持续压缩产业提质增效、扩容升级的发展空间。</w:t>
      </w:r>
    </w:p>
    <w:p w14:paraId="08FDAF1B">
      <w:pPr>
        <w:pStyle w:val="8"/>
        <w:overflowPunct w:val="0"/>
        <w:topLinePunct/>
        <w:autoSpaceDE/>
        <w:autoSpaceDN/>
        <w:spacing w:before="0" w:line="576" w:lineRule="exact"/>
        <w:ind w:left="0" w:firstLine="640" w:firstLineChars="200"/>
        <w:jc w:val="both"/>
        <w:outlineLvl w:val="1"/>
        <w:rPr>
          <w:rFonts w:ascii="Times New Roman" w:hAnsi="Times New Roman" w:eastAsia="方正楷体简体" w:cs="方正仿宋简体"/>
          <w:sz w:val="32"/>
          <w:szCs w:val="32"/>
        </w:rPr>
      </w:pPr>
      <w:bookmarkStart w:id="393" w:name="_Toc243241541"/>
      <w:bookmarkStart w:id="394" w:name="OLE_LINK208"/>
      <w:bookmarkStart w:id="395" w:name="OLE_LINK210"/>
      <w:r>
        <w:rPr>
          <w:rFonts w:ascii="Times New Roman" w:hAnsi="Times New Roman" w:eastAsia="方正楷体简体" w:cs="方正仿宋简体"/>
          <w:sz w:val="32"/>
          <w:szCs w:val="32"/>
        </w:rPr>
        <w:t>（一）区域竞争持续加剧，全域比较优势逐步弱化</w:t>
      </w:r>
      <w:bookmarkEnd w:id="393"/>
    </w:p>
    <w:bookmarkEnd w:id="394"/>
    <w:p w14:paraId="073358CF">
      <w:pPr>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立足全国藏区协同发展格局与自治区内部产业布局，那曲市特色产业同时面临跨区域、区内双重竞争挤压，在品牌建设、产业链延伸、市场主体培育等方面短板较为突出，依托传统资源禀赋形成的比较优势逐步弱化。</w:t>
      </w:r>
      <w:r>
        <w:rPr>
          <w:rFonts w:hint="eastAsia" w:ascii="Times New Roman" w:hAnsi="Times New Roman" w:eastAsia="方正仿宋简体" w:cs="方正仿宋简体"/>
          <w:b/>
          <w:bCs w:val="0"/>
          <w:sz w:val="32"/>
          <w:szCs w:val="28"/>
          <w:lang w:val="en-US" w:eastAsia="zh-CN"/>
        </w:rPr>
        <w:t>一是</w:t>
      </w:r>
      <w:r>
        <w:rPr>
          <w:rFonts w:hint="eastAsia" w:ascii="Times New Roman" w:hAnsi="Times New Roman" w:eastAsia="方正仿宋简体" w:cs="方正仿宋简体"/>
          <w:bCs/>
          <w:sz w:val="32"/>
          <w:szCs w:val="28"/>
          <w:lang w:val="en-US" w:eastAsia="zh-CN"/>
        </w:rPr>
        <w:t>国内同类高海拔藏区分流市场资源，产业赛道同质化竞争压力凸显。青海玉树、四川甘孜、云南迪庆等藏族地区依托同源的高原生态资源，同步布局生态畜牧、高原文旅、特色康养等重点赛道，持续完善生产加工、冷链物流、品牌营销体系，差异化发展举措落地见效，不断抢占国内高端消费市场份额。青海玉树聚力打造有机牦牛全产业链，健全冷链仓储与产销物流体系，依托优质有机草场放大高原畜产品品牌效应，在全国有机畜产品赛道形成较强市场竞争力；云南迪庆深耕“文旅+康养”融合业态，持续落地高端旅居、休闲度假项目，依托成熟的区域品牌IP撬动高端客源，在高品质文旅消费领域形成明显发展优势。</w:t>
      </w:r>
      <w:r>
        <w:rPr>
          <w:rFonts w:hint="eastAsia" w:ascii="Times New Roman" w:hAnsi="Times New Roman" w:eastAsia="方正仿宋简体" w:cs="方正仿宋简体"/>
          <w:b/>
          <w:bCs w:val="0"/>
          <w:sz w:val="32"/>
          <w:szCs w:val="28"/>
          <w:lang w:val="en-US" w:eastAsia="zh-CN"/>
        </w:rPr>
        <w:t>二是</w:t>
      </w:r>
      <w:r>
        <w:rPr>
          <w:rFonts w:hint="eastAsia" w:ascii="Times New Roman" w:hAnsi="Times New Roman" w:eastAsia="方正仿宋简体" w:cs="方正仿宋简体"/>
          <w:bCs/>
          <w:sz w:val="32"/>
          <w:szCs w:val="28"/>
          <w:lang w:val="en-US" w:eastAsia="zh-CN"/>
        </w:rPr>
        <w:t>区内核心城市要素虹吸效应突出，产业发展梯度差距持续拉大。拉萨、日喀则依托区位条件、配套基础与产业集聚优势，持续汇聚资本、人才、市场主体等优质要素，对那曲形成显著的要素虹吸。拉萨集聚自治区内多数藏医药规上企业与研发平台，专业化产业园区载体完备，产业配套条件优越；同时林芝也集聚奇正藏药等头部藏药生产基地，全区藏医药产业呈现多极布局格局，整体产业链完备度、市场辐射能力优势突出。日喀则深度挖掘珠峰世界级文旅IP价值，做强珠峰文化旅游节等特色节庆，持续丰富精品旅游线路产品供给，文旅产业市场体量、配套完善度均处于全区第一梯队。</w:t>
      </w:r>
    </w:p>
    <w:p w14:paraId="57E2A0F0">
      <w:pPr>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综合对比来看，那曲市特色产业普遍存在公共品牌影响力偏弱、产业业态层次不高、精深加工链条偏短、优质市场主体集聚不足等短板，仅依靠原生草场、冰川、盐湖等基础资源，难以构筑长期稳定的核心竞争壁垒，原有资源比较优势持续弱化，参与区域市场竞争面临较大压力。</w:t>
      </w:r>
    </w:p>
    <w:bookmarkEnd w:id="395"/>
    <w:p w14:paraId="2C4509AE">
      <w:pPr>
        <w:pStyle w:val="8"/>
        <w:overflowPunct w:val="0"/>
        <w:topLinePunct/>
        <w:autoSpaceDE/>
        <w:autoSpaceDN/>
        <w:spacing w:before="0" w:line="576" w:lineRule="exact"/>
        <w:ind w:left="0" w:firstLine="640" w:firstLineChars="200"/>
        <w:jc w:val="both"/>
        <w:outlineLvl w:val="1"/>
        <w:rPr>
          <w:rFonts w:ascii="Times New Roman" w:hAnsi="Times New Roman" w:eastAsia="方正楷体简体" w:cs="方正仿宋简体"/>
          <w:sz w:val="32"/>
          <w:szCs w:val="32"/>
        </w:rPr>
      </w:pPr>
      <w:bookmarkStart w:id="396" w:name="_Toc243241542"/>
      <w:r>
        <w:rPr>
          <w:rFonts w:ascii="Times New Roman" w:hAnsi="Times New Roman" w:eastAsia="方正楷体简体" w:cs="方正仿宋简体"/>
          <w:sz w:val="32"/>
          <w:szCs w:val="32"/>
        </w:rPr>
        <w:t>（二）市场消费迭代升级，产品供给适配能力不足</w:t>
      </w:r>
      <w:bookmarkEnd w:id="396"/>
    </w:p>
    <w:p w14:paraId="6F9120AA">
      <w:pPr>
        <w:spacing w:line="576" w:lineRule="exact"/>
        <w:ind w:firstLine="640" w:firstLineChars="200"/>
        <w:jc w:val="both"/>
        <w:rPr>
          <w:rFonts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国内消费市场向健康化、个性化、便捷化、数字化加速转型，市场标准持续收紧、渠道结构深度调整，全市特色产业产品供给体系、市场运营模式未能同步跟进，供需错配问题突出。</w:t>
      </w:r>
    </w:p>
    <w:p w14:paraId="2D9F0C66">
      <w:pPr>
        <w:spacing w:line="576" w:lineRule="exact"/>
        <w:ind w:firstLine="640" w:firstLineChars="200"/>
        <w:jc w:val="both"/>
        <w:rPr>
          <w:rFonts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从线下实体消费来看，市场准入门槛持续抬高，有机、地理标志等认证成为高端市场硬性要求。当前全市仅38%畜产品取得有机认证，认证办理周期</w:t>
      </w:r>
      <w:bookmarkStart w:id="397" w:name="OLE_LINK211"/>
      <w:r>
        <w:rPr>
          <w:rFonts w:hint="eastAsia" w:ascii="Times New Roman" w:hAnsi="Times New Roman" w:eastAsia="方正仿宋简体" w:cs="方正仿宋简体"/>
          <w:bCs/>
          <w:sz w:val="32"/>
          <w:szCs w:val="28"/>
          <w:lang w:val="en-US" w:eastAsia="zh-CN"/>
        </w:rPr>
        <w:t>较长</w:t>
      </w:r>
      <w:bookmarkEnd w:id="397"/>
      <w:r>
        <w:rPr>
          <w:rFonts w:hint="eastAsia" w:ascii="Times New Roman" w:hAnsi="Times New Roman" w:eastAsia="方正仿宋简体" w:cs="方正仿宋简体"/>
          <w:bCs/>
          <w:sz w:val="32"/>
          <w:szCs w:val="28"/>
          <w:lang w:val="en-US" w:eastAsia="zh-CN"/>
        </w:rPr>
        <w:t>，认证体系建设滞后，难以快速匹配市场准入标准；文旅消费年轻化趋势明显，小众生态体验、数字沉浸式文旅、非遗互动体验等新业态需求旺盛，相关品类市场年增速达40%，但那曲市同类产品开发尚处于起步阶段，2025年相关业态营收占比不足5%，文旅产品供给结构单一、创新动能不足。</w:t>
      </w:r>
    </w:p>
    <w:p w14:paraId="49AB7B99">
      <w:pPr>
        <w:spacing w:line="576" w:lineRule="exact"/>
        <w:ind w:firstLine="640" w:firstLineChars="200"/>
        <w:jc w:val="both"/>
        <w:rPr>
          <w:rFonts w:ascii="Times New Roman" w:hAnsi="Times New Roman" w:eastAsia="方正仿宋简体" w:cs="方正仿宋简体"/>
          <w:bCs/>
          <w:sz w:val="32"/>
          <w:szCs w:val="28"/>
          <w:lang w:val="en-US" w:eastAsia="zh-CN"/>
        </w:rPr>
      </w:pPr>
      <w:r>
        <w:rPr>
          <w:rFonts w:ascii="Times New Roman" w:hAnsi="Times New Roman" w:eastAsia="方正仿宋简体" w:cs="方正仿宋简体"/>
          <w:bCs/>
          <w:sz w:val="32"/>
          <w:szCs w:val="28"/>
          <w:lang w:val="en-US" w:eastAsia="zh-CN"/>
        </w:rPr>
        <w:t>从线上流通渠道来看，电商已成为农产品核心销售载体，2025年全国农产品线上销售额占比达32%。相较于全国发展水平，那曲市电商产业发展相对滞后，全市农牧产品经营主体线上布局积极性不足，入驻主流电商平台主体占比偏低，同时本土专业化电商运营、直播带货、品牌运维人才储备匮乏，标准化、精细化线上运营能力薄弱，严重制约农牧产品线上规模化、品牌化外销。</w:t>
      </w:r>
      <w:r>
        <w:rPr>
          <w:rFonts w:hint="eastAsia" w:ascii="Times New Roman" w:hAnsi="Times New Roman" w:eastAsia="方正仿宋简体" w:cs="方正仿宋简体"/>
          <w:bCs/>
          <w:sz w:val="32"/>
          <w:szCs w:val="28"/>
          <w:lang w:val="en-US" w:eastAsia="zh-CN"/>
        </w:rPr>
        <w:t>受高海拔物流条件制约，本地特色产品出藏配送时效长达7至10天，物流损耗、消费体验短板突出，2025年全市特色产品线上销售额占比仅8.5%，大幅低于全国平均水平，线上渠道增量红利未能充分释放。</w:t>
      </w:r>
    </w:p>
    <w:p w14:paraId="52B16E8E">
      <w:pPr>
        <w:pStyle w:val="8"/>
        <w:overflowPunct w:val="0"/>
        <w:topLinePunct/>
        <w:autoSpaceDE/>
        <w:autoSpaceDN/>
        <w:spacing w:before="0" w:line="576" w:lineRule="exact"/>
        <w:ind w:left="0" w:firstLine="640" w:firstLineChars="200"/>
        <w:jc w:val="both"/>
        <w:outlineLvl w:val="1"/>
        <w:rPr>
          <w:rFonts w:ascii="Times New Roman" w:hAnsi="Times New Roman" w:eastAsia="方正楷体简体" w:cs="方正仿宋简体"/>
          <w:sz w:val="32"/>
          <w:szCs w:val="32"/>
        </w:rPr>
      </w:pPr>
      <w:bookmarkStart w:id="398" w:name="_Toc243241543"/>
      <w:r>
        <w:rPr>
          <w:rFonts w:ascii="Times New Roman" w:hAnsi="Times New Roman" w:eastAsia="方正楷体简体" w:cs="方正仿宋简体"/>
          <w:sz w:val="32"/>
          <w:szCs w:val="32"/>
        </w:rPr>
        <w:t>（三）政策统筹协同不足，外部扶持落地碎片化</w:t>
      </w:r>
      <w:bookmarkEnd w:id="398"/>
    </w:p>
    <w:p w14:paraId="7BEB0C7B">
      <w:pPr>
        <w:spacing w:line="576" w:lineRule="exact"/>
        <w:ind w:firstLine="640" w:firstLineChars="200"/>
        <w:jc w:val="both"/>
        <w:rPr>
          <w:rFonts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国家、自治区层面出台系列支持高原特色产业发展的专项政策，但跨领域、跨部门政策统筹衔接机制不健全，政策适配性、落地转化率不足，扶持红利释放不充分。</w:t>
      </w:r>
      <w:r>
        <w:rPr>
          <w:rFonts w:hint="eastAsia" w:ascii="Times New Roman" w:hAnsi="Times New Roman" w:eastAsia="方正仿宋简体" w:cs="方正仿宋简体"/>
          <w:b/>
          <w:sz w:val="32"/>
          <w:szCs w:val="28"/>
          <w:lang w:val="en-US" w:eastAsia="zh-CN"/>
        </w:rPr>
        <w:t>一是</w:t>
      </w:r>
      <w:r>
        <w:rPr>
          <w:rFonts w:hint="eastAsia" w:ascii="Times New Roman" w:hAnsi="Times New Roman" w:eastAsia="方正仿宋简体" w:cs="方正仿宋简体"/>
          <w:bCs/>
          <w:sz w:val="32"/>
          <w:szCs w:val="28"/>
          <w:lang w:val="en-US" w:eastAsia="zh-CN"/>
        </w:rPr>
        <w:t>部门政策目标统筹衔接不畅，存在执行冲突。生态环保、产业发展、乡村振兴、文旅等主管部门政策导向、管控标准未能一体化统筹，生态保护红线刚性管控与产业扩容发展诉求存在衔接空白，部分清洁能源项目因环评标准与产业建设时序不匹配，审批周期拉长3至5个月；农牧民增收扶持政策与景区开发、文旅运营联动不足，2025年农牧民依托文旅产业获得就业增收收入占比仅11%，产业富民带动效能未能充分释放；</w:t>
      </w:r>
      <w:r>
        <w:rPr>
          <w:rFonts w:hint="eastAsia" w:ascii="Times New Roman" w:hAnsi="Times New Roman" w:eastAsia="方正仿宋简体" w:cs="方正仿宋简体"/>
          <w:b/>
          <w:sz w:val="32"/>
          <w:szCs w:val="28"/>
          <w:lang w:val="en-US" w:eastAsia="zh-CN"/>
        </w:rPr>
        <w:t>二是</w:t>
      </w:r>
      <w:r>
        <w:rPr>
          <w:rFonts w:hint="eastAsia" w:ascii="Times New Roman" w:hAnsi="Times New Roman" w:eastAsia="方正仿宋简体" w:cs="方正仿宋简体"/>
          <w:bCs/>
          <w:sz w:val="32"/>
          <w:szCs w:val="28"/>
          <w:lang w:val="en-US" w:eastAsia="zh-CN"/>
        </w:rPr>
        <w:t>上级专项政策本地适配度不足，政策红利难以兑现。国家清洁能源外送电价补贴、新能源配套扶持等政策，设置主干外送通道硬性前置条件，那曲市当前跨区域电力外送通道尚未纳入国家主干网架，2025年未达到政策申领标准，相关补贴资金无法落地，一定程度降低市场主体投资清洁能源项目积极性。</w:t>
      </w:r>
    </w:p>
    <w:p w14:paraId="034AD528">
      <w:pPr>
        <w:pStyle w:val="8"/>
        <w:overflowPunct w:val="0"/>
        <w:topLinePunct/>
        <w:autoSpaceDE/>
        <w:autoSpaceDN/>
        <w:spacing w:before="0" w:line="576" w:lineRule="exact"/>
        <w:ind w:left="0" w:firstLine="640" w:firstLineChars="200"/>
        <w:jc w:val="both"/>
        <w:outlineLvl w:val="1"/>
        <w:rPr>
          <w:rFonts w:ascii="Times New Roman" w:hAnsi="Times New Roman" w:eastAsia="方正楷体简体" w:cs="方正仿宋简体"/>
          <w:sz w:val="32"/>
          <w:szCs w:val="32"/>
        </w:rPr>
      </w:pPr>
      <w:bookmarkStart w:id="399" w:name="_Toc243241544"/>
      <w:bookmarkStart w:id="400" w:name="OLE_LINK213"/>
      <w:r>
        <w:rPr>
          <w:rFonts w:ascii="Times New Roman" w:hAnsi="Times New Roman" w:eastAsia="方正楷体简体" w:cs="方正仿宋简体"/>
          <w:sz w:val="32"/>
          <w:szCs w:val="32"/>
        </w:rPr>
        <w:t>（四）生态空间刚性管控严格，产业开发准入约束多重</w:t>
      </w:r>
      <w:bookmarkEnd w:id="399"/>
    </w:p>
    <w:bookmarkEnd w:id="400"/>
    <w:p w14:paraId="68E0066B">
      <w:pPr>
        <w:spacing w:line="576" w:lineRule="exact"/>
        <w:ind w:firstLine="640" w:firstLineChars="200"/>
        <w:jc w:val="both"/>
        <w:rPr>
          <w:rFonts w:ascii="Times New Roman" w:hAnsi="Times New Roman" w:eastAsia="方正仿宋简体" w:cs="方正仿宋简体"/>
          <w:bCs/>
          <w:sz w:val="32"/>
          <w:szCs w:val="32"/>
          <w:lang w:val="en-US" w:eastAsia="zh-CN"/>
        </w:rPr>
      </w:pPr>
      <w:r>
        <w:rPr>
          <w:rFonts w:hint="eastAsia" w:ascii="Times New Roman" w:hAnsi="Times New Roman" w:eastAsia="方正仿宋简体" w:cs="方正仿宋简体"/>
          <w:bCs/>
          <w:sz w:val="32"/>
          <w:szCs w:val="32"/>
          <w:lang w:val="en-US" w:eastAsia="zh-CN"/>
        </w:rPr>
        <w:t>那曲市作为青藏高原生态安全屏障核心片区，严格落实《那曲市国土空间总体规划（2021—2035年）》</w:t>
      </w:r>
      <w:bookmarkStart w:id="401" w:name="OLE_LINK214"/>
      <w:r>
        <w:rPr>
          <w:rFonts w:hint="eastAsia" w:ascii="Times New Roman" w:hAnsi="Times New Roman" w:eastAsia="方正仿宋简体" w:cs="方正仿宋简体"/>
          <w:bCs/>
          <w:sz w:val="32"/>
          <w:szCs w:val="32"/>
          <w:lang w:val="en-US" w:eastAsia="zh-CN"/>
        </w:rPr>
        <w:t>“三区三线”</w:t>
      </w:r>
      <w:bookmarkEnd w:id="401"/>
      <w:r>
        <w:rPr>
          <w:rFonts w:hint="eastAsia" w:ascii="Times New Roman" w:hAnsi="Times New Roman" w:eastAsia="方正仿宋简体" w:cs="方正仿宋简体"/>
          <w:bCs/>
          <w:sz w:val="32"/>
          <w:szCs w:val="32"/>
          <w:lang w:val="en-US" w:eastAsia="zh-CN"/>
        </w:rPr>
        <w:t>管控要求，全域生态空间管控标准严苛，产业项目在选址布局、建设规模、开发模式等方面面临多重刚性约束，产业拓展空间受到一定限制。</w:t>
      </w:r>
    </w:p>
    <w:p w14:paraId="75631B20">
      <w:pPr>
        <w:spacing w:line="576" w:lineRule="exact"/>
        <w:ind w:firstLine="640" w:firstLineChars="200"/>
        <w:jc w:val="both"/>
        <w:outlineLvl w:val="2"/>
        <w:rPr>
          <w:rFonts w:ascii="Times New Roman" w:hAnsi="Times New Roman" w:eastAsia="方正仿宋简体" w:cs="方正仿宋简体"/>
          <w:bCs/>
          <w:sz w:val="32"/>
          <w:szCs w:val="32"/>
          <w:lang w:val="en-US" w:eastAsia="zh-CN"/>
        </w:rPr>
      </w:pPr>
      <w:bookmarkStart w:id="402" w:name="_Toc243241545"/>
      <w:bookmarkStart w:id="403" w:name="OLE_LINK215"/>
      <w:r>
        <w:rPr>
          <w:rFonts w:hint="eastAsia" w:ascii="Times New Roman" w:hAnsi="Times New Roman" w:eastAsia="方正仿宋简体" w:cs="方正仿宋简体"/>
          <w:bCs/>
          <w:sz w:val="32"/>
          <w:szCs w:val="32"/>
          <w:lang w:val="en-US" w:eastAsia="zh-CN"/>
        </w:rPr>
        <w:t>1．全域国土空间管控硬性指标</w:t>
      </w:r>
      <w:bookmarkEnd w:id="402"/>
    </w:p>
    <w:p w14:paraId="76148CD0">
      <w:pPr>
        <w:spacing w:line="576" w:lineRule="exact"/>
        <w:ind w:firstLine="640" w:firstLineChars="200"/>
        <w:jc w:val="both"/>
        <w:rPr>
          <w:rFonts w:ascii="Times New Roman" w:hAnsi="Times New Roman" w:eastAsia="方正仿宋简体" w:cs="方正仿宋简体"/>
          <w:bCs/>
          <w:sz w:val="32"/>
          <w:szCs w:val="32"/>
          <w:lang w:val="en-US" w:eastAsia="zh-CN"/>
        </w:rPr>
      </w:pPr>
      <w:r>
        <w:rPr>
          <w:rFonts w:ascii="Times New Roman" w:hAnsi="Times New Roman" w:eastAsia="方正仿宋简体" w:cs="方正仿宋简体"/>
          <w:bCs/>
          <w:sz w:val="32"/>
          <w:szCs w:val="32"/>
          <w:lang w:eastAsia="zh-CN"/>
        </w:rPr>
        <w:t>全市耕地保有量不少于9.44万亩，永久基本农田保护面积不少于5.80万亩；生态保护红线管控面积不低于</w:t>
      </w:r>
      <w:bookmarkStart w:id="404" w:name="OLE_LINK216"/>
      <w:r>
        <w:rPr>
          <w:rFonts w:ascii="Times New Roman" w:hAnsi="Times New Roman" w:eastAsia="方正仿宋简体" w:cs="方正仿宋简体"/>
          <w:bCs/>
          <w:sz w:val="32"/>
          <w:szCs w:val="32"/>
          <w:lang w:eastAsia="zh-CN"/>
        </w:rPr>
        <w:t>18.92</w:t>
      </w:r>
      <w:bookmarkEnd w:id="404"/>
      <w:r>
        <w:rPr>
          <w:rFonts w:ascii="Times New Roman" w:hAnsi="Times New Roman" w:eastAsia="方正仿宋简体" w:cs="方正仿宋简体"/>
          <w:bCs/>
          <w:sz w:val="32"/>
          <w:szCs w:val="32"/>
          <w:lang w:eastAsia="zh-CN"/>
        </w:rPr>
        <w:t>万平方千米，全域覆盖羌塘高原、唐古拉山—三江源、冈底斯—念青唐古拉山三大生态安全</w:t>
      </w:r>
      <w:r>
        <w:rPr>
          <w:rFonts w:ascii="Times New Roman" w:hAnsi="Times New Roman" w:eastAsia="方正仿宋简体" w:cs="方正仿宋简体"/>
          <w:bCs/>
          <w:sz w:val="32"/>
          <w:szCs w:val="32"/>
          <w:lang w:val="en-US" w:eastAsia="zh-CN"/>
        </w:rPr>
        <w:t>屏障</w:t>
      </w:r>
      <w:r>
        <w:rPr>
          <w:rFonts w:ascii="Times New Roman" w:hAnsi="Times New Roman" w:eastAsia="方正仿宋简体" w:cs="方正仿宋简体"/>
          <w:bCs/>
          <w:sz w:val="32"/>
          <w:szCs w:val="32"/>
          <w:lang w:eastAsia="zh-CN"/>
        </w:rPr>
        <w:t>；城镇开发边界严格控制在57.80平方千米以内，从严管控城镇无序扩张，产业配套建设用地供给规模受到约束。</w:t>
      </w:r>
    </w:p>
    <w:bookmarkEnd w:id="403"/>
    <w:p w14:paraId="618A2BB1">
      <w:pPr>
        <w:spacing w:line="576" w:lineRule="exact"/>
        <w:ind w:firstLine="640" w:firstLineChars="200"/>
        <w:jc w:val="both"/>
        <w:outlineLvl w:val="2"/>
        <w:rPr>
          <w:rFonts w:ascii="Times New Roman" w:hAnsi="Times New Roman" w:eastAsia="方正仿宋简体" w:cs="方正仿宋简体"/>
          <w:bCs/>
          <w:sz w:val="32"/>
          <w:szCs w:val="32"/>
          <w:lang w:val="en-US" w:eastAsia="zh-CN"/>
        </w:rPr>
      </w:pPr>
      <w:bookmarkStart w:id="405" w:name="_Toc243241546"/>
      <w:r>
        <w:rPr>
          <w:rFonts w:hint="eastAsia" w:ascii="Times New Roman" w:hAnsi="Times New Roman" w:eastAsia="方正仿宋简体" w:cs="方正仿宋简体"/>
          <w:bCs/>
          <w:sz w:val="32"/>
          <w:szCs w:val="32"/>
          <w:lang w:val="en-US" w:eastAsia="zh-CN"/>
        </w:rPr>
        <w:t>2．盐湖矿产开发空间准入限制</w:t>
      </w:r>
      <w:bookmarkEnd w:id="405"/>
    </w:p>
    <w:p w14:paraId="73F72A66">
      <w:pPr>
        <w:spacing w:line="576" w:lineRule="exact"/>
        <w:ind w:firstLine="640" w:firstLineChars="200"/>
        <w:jc w:val="both"/>
        <w:rPr>
          <w:rFonts w:ascii="Times New Roman" w:hAnsi="Times New Roman" w:eastAsia="方正仿宋简体" w:cs="方正仿宋简体"/>
          <w:bCs/>
          <w:sz w:val="32"/>
          <w:szCs w:val="32"/>
          <w:lang w:val="en-US" w:eastAsia="zh-CN"/>
        </w:rPr>
      </w:pPr>
      <w:r>
        <w:rPr>
          <w:rFonts w:hint="eastAsia" w:ascii="Times New Roman" w:hAnsi="Times New Roman" w:eastAsia="方正仿宋简体" w:cs="方正仿宋简体"/>
          <w:bCs/>
          <w:sz w:val="32"/>
          <w:szCs w:val="32"/>
          <w:lang w:val="en-US" w:eastAsia="zh-CN"/>
        </w:rPr>
        <w:t>全市盐湖资源集中分布于西部尼玛、双湖及中部班戈等县域，班戈县班嘎错盐湖氧化锂探明储量约103.35万吨，镁锂比低、锂含量高，属优质综合盐湖资源；尼玛县当雄错盐湖纳入自治区重点矿产开发规划；色林错周边盐湖群水菱镁矿层厚度达30米，资源开发潜力突出。我市已探明的盐湖资源包括班嘎错、当雄错、鄂雅错，其中班嘎错、当雄错正在积极推动开发前期工作，不存在开发障碍；鄂雅错位于自然资源保护地，已纳入矿产资源战略储备区。</w:t>
      </w:r>
    </w:p>
    <w:p w14:paraId="375B3F16">
      <w:pPr>
        <w:spacing w:line="576" w:lineRule="exact"/>
        <w:ind w:firstLine="640" w:firstLineChars="200"/>
        <w:jc w:val="both"/>
        <w:rPr>
          <w:rFonts w:ascii="Times New Roman" w:hAnsi="Times New Roman" w:eastAsia="方正仿宋简体" w:cs="方正仿宋简体"/>
          <w:bCs/>
          <w:sz w:val="32"/>
          <w:szCs w:val="32"/>
          <w:lang w:val="en-US" w:eastAsia="zh-CN"/>
        </w:rPr>
      </w:pPr>
      <w:r>
        <w:rPr>
          <w:rFonts w:hint="eastAsia" w:ascii="Times New Roman" w:hAnsi="Times New Roman" w:eastAsia="方正仿宋简体" w:cs="方正仿宋简体"/>
          <w:bCs/>
          <w:sz w:val="32"/>
          <w:szCs w:val="32"/>
          <w:lang w:val="en-US" w:eastAsia="zh-CN"/>
        </w:rPr>
        <w:t>同时，所有矿山均须合法合规开发，准入条件基本统一，未针对盐湖开发设置严苛条件。</w:t>
      </w:r>
    </w:p>
    <w:p w14:paraId="428FF341">
      <w:pPr>
        <w:pStyle w:val="8"/>
        <w:overflowPunct w:val="0"/>
        <w:topLinePunct/>
        <w:autoSpaceDE/>
        <w:autoSpaceDN/>
        <w:spacing w:before="0" w:line="576" w:lineRule="exact"/>
        <w:ind w:left="0" w:firstLine="640" w:firstLineChars="200"/>
        <w:jc w:val="both"/>
        <w:outlineLvl w:val="1"/>
        <w:rPr>
          <w:rFonts w:ascii="Times New Roman" w:hAnsi="Times New Roman" w:eastAsia="方正楷体简体" w:cs="方正仿宋简体"/>
          <w:sz w:val="32"/>
          <w:szCs w:val="32"/>
        </w:rPr>
      </w:pPr>
      <w:bookmarkStart w:id="406" w:name="_Toc243241547"/>
      <w:r>
        <w:rPr>
          <w:rFonts w:hint="eastAsia" w:ascii="Times New Roman" w:hAnsi="Times New Roman" w:eastAsia="方正楷体简体" w:cs="方正仿宋简体"/>
          <w:sz w:val="32"/>
          <w:szCs w:val="32"/>
        </w:rPr>
        <w:t>（五）基础设施配套滞后，内外联通保障能力不足</w:t>
      </w:r>
      <w:bookmarkEnd w:id="406"/>
    </w:p>
    <w:p w14:paraId="2773CA4C">
      <w:pPr>
        <w:spacing w:line="576" w:lineRule="exact"/>
        <w:ind w:firstLine="640" w:firstLineChars="200"/>
        <w:jc w:val="both"/>
        <w:rPr>
          <w:rFonts w:ascii="Times New Roman" w:hAnsi="Times New Roman" w:eastAsia="方正仿宋简体" w:cs="方正仿宋简体"/>
          <w:bCs/>
          <w:sz w:val="32"/>
          <w:szCs w:val="32"/>
          <w:lang w:val="en-US" w:eastAsia="zh-CN"/>
        </w:rPr>
      </w:pPr>
      <w:r>
        <w:rPr>
          <w:rFonts w:hint="eastAsia" w:ascii="Times New Roman" w:hAnsi="Times New Roman" w:eastAsia="方正仿宋简体" w:cs="方正仿宋简体"/>
          <w:bCs/>
          <w:sz w:val="32"/>
          <w:szCs w:val="32"/>
          <w:lang w:val="en-US" w:eastAsia="zh-CN"/>
        </w:rPr>
        <w:t>受高海拔、地广人稀特殊地理条件制约，交通物流、能源供给、数字基建配套短板突出，对内产业承载、对外市场联通能力存在明显短板。</w:t>
      </w:r>
      <w:r>
        <w:rPr>
          <w:rFonts w:hint="eastAsia" w:ascii="Times New Roman" w:hAnsi="Times New Roman" w:eastAsia="方正仿宋简体" w:cs="方正仿宋简体"/>
          <w:b/>
          <w:sz w:val="32"/>
          <w:szCs w:val="32"/>
          <w:lang w:val="en-US" w:eastAsia="zh-CN"/>
        </w:rPr>
        <w:t>一是</w:t>
      </w:r>
      <w:r>
        <w:rPr>
          <w:rFonts w:hint="eastAsia" w:ascii="Times New Roman" w:hAnsi="Times New Roman" w:eastAsia="方正仿宋简体" w:cs="方正仿宋简体"/>
          <w:bCs/>
          <w:sz w:val="32"/>
          <w:szCs w:val="32"/>
          <w:lang w:val="en-US" w:eastAsia="zh-CN"/>
        </w:rPr>
        <w:t>交通物流体系短板突出，鲜活产品流通损耗偏高。</w:t>
      </w:r>
      <w:bookmarkStart w:id="407" w:name="OLE_LINK220"/>
      <w:r>
        <w:rPr>
          <w:rFonts w:ascii="Times New Roman" w:hAnsi="Times New Roman" w:eastAsia="方正仿宋简体" w:cs="方正仿宋简体"/>
          <w:bCs/>
          <w:sz w:val="32"/>
          <w:szCs w:val="32"/>
          <w:lang w:eastAsia="zh-CN"/>
        </w:rPr>
        <w:t>受地理区位制约，那曲乡镇二级及以上高等级公路覆盖不足，多数县域前往市区单程通行耗时普遍达到4</w:t>
      </w:r>
      <w:r>
        <w:rPr>
          <w:rFonts w:ascii="Times New Roman" w:hAnsi="Times New Roman" w:eastAsia="方正仿宋简体" w:cs="方正仿宋简体"/>
          <w:bCs/>
          <w:sz w:val="32"/>
          <w:szCs w:val="32"/>
          <w:lang w:eastAsia="zh-CN"/>
        </w:rPr>
        <w:noBreakHyphen/>
      </w:r>
      <w:r>
        <w:rPr>
          <w:rFonts w:ascii="Times New Roman" w:hAnsi="Times New Roman" w:eastAsia="方正仿宋简体" w:cs="方正仿宋简体"/>
          <w:bCs/>
          <w:sz w:val="32"/>
          <w:szCs w:val="32"/>
          <w:lang w:eastAsia="zh-CN"/>
        </w:rPr>
        <w:t>6小时，西部偏远县域通行耗时更长；全市冷链仓储、产地预冷设施供给不足，县乡节点布局存在明显短板。受冷链设施不足、长途高原运输条件制约，畜产品、藏药材等鲜活物资流通损耗水平偏高，高于国内肉类流通平均水平，对特色产品外销形成明显制约。</w:t>
      </w:r>
      <w:bookmarkEnd w:id="407"/>
      <w:r>
        <w:rPr>
          <w:rFonts w:hint="eastAsia" w:ascii="Times New Roman" w:hAnsi="Times New Roman" w:eastAsia="方正仿宋简体" w:cs="方正仿宋简体"/>
          <w:bCs/>
          <w:sz w:val="32"/>
          <w:szCs w:val="32"/>
          <w:lang w:val="en-US" w:eastAsia="zh-CN"/>
        </w:rPr>
        <w:t>航空运力供给不足，那曲达仁支线高高原机场仍处于前期筹备阶段，难以满足高端游客引流、应急物资快速转运需求；</w:t>
      </w:r>
      <w:r>
        <w:rPr>
          <w:rFonts w:hint="eastAsia" w:ascii="Times New Roman" w:hAnsi="Times New Roman" w:eastAsia="方正仿宋简体" w:cs="方正仿宋简体"/>
          <w:b/>
          <w:sz w:val="32"/>
          <w:szCs w:val="32"/>
          <w:lang w:val="en-US" w:eastAsia="zh-CN"/>
        </w:rPr>
        <w:t>二是</w:t>
      </w:r>
      <w:r>
        <w:rPr>
          <w:rFonts w:hint="eastAsia" w:ascii="Times New Roman" w:hAnsi="Times New Roman" w:eastAsia="方正仿宋简体" w:cs="方正仿宋简体"/>
          <w:bCs/>
          <w:sz w:val="32"/>
          <w:szCs w:val="32"/>
          <w:lang w:val="en-US" w:eastAsia="zh-CN"/>
        </w:rPr>
        <w:t>能源配套网架不完善，产业稳定供能保障不足。全市清洁能源装机规模持续增长，但县域配网、外送网架建设滞后，2025年双湖等偏远县域仍有18%清洁能源产能无法并网消纳；每年10月至次年4月冬季供暖期天然气、辅助燃煤供给缺口达25%，畜产品深加工、藏药生产等加工产业稳定运行受到制约；</w:t>
      </w:r>
      <w:r>
        <w:rPr>
          <w:rFonts w:hint="eastAsia" w:ascii="Times New Roman" w:hAnsi="Times New Roman" w:eastAsia="方正仿宋简体" w:cs="方正仿宋简体"/>
          <w:b/>
          <w:sz w:val="32"/>
          <w:szCs w:val="32"/>
          <w:lang w:val="en-US" w:eastAsia="zh-CN"/>
        </w:rPr>
        <w:t>三是</w:t>
      </w:r>
      <w:r>
        <w:rPr>
          <w:rFonts w:hint="eastAsia" w:ascii="Times New Roman" w:hAnsi="Times New Roman" w:eastAsia="方正仿宋简体" w:cs="方正仿宋简体"/>
          <w:bCs/>
          <w:sz w:val="32"/>
          <w:szCs w:val="32"/>
          <w:lang w:val="en-US" w:eastAsia="zh-CN"/>
        </w:rPr>
        <w:t>数字产业应用层次偏低，数字化转型推进缓慢。全市已实现11个县（区）、所有乡（镇）5G网络全覆盖，但大数据、物联网、智能管控等数字化场景产业渗透率不足。以高原畜牧业为例，智慧牧场数字化管控系统仅在3家合作社落地，全市畜牧产业数字化应用水平低于全区45%的平均标准，数字基建赋能产业升级的效能未能充分释放。</w:t>
      </w:r>
    </w:p>
    <w:bookmarkEnd w:id="392"/>
    <w:p w14:paraId="20249C9A">
      <w:pPr>
        <w:pStyle w:val="27"/>
        <w:tabs>
          <w:tab w:val="left" w:pos="1248"/>
        </w:tabs>
        <w:spacing w:line="576" w:lineRule="exact"/>
        <w:jc w:val="both"/>
        <w:outlineLvl w:val="0"/>
        <w:rPr>
          <w:rFonts w:ascii="Times New Roman" w:hAnsi="Times New Roman" w:eastAsia="方正仿宋简体" w:cs="方正仿宋简体"/>
          <w:bCs/>
          <w:spacing w:val="-2"/>
          <w:sz w:val="32"/>
          <w:szCs w:val="32"/>
        </w:rPr>
        <w:sectPr>
          <w:pgSz w:w="11906" w:h="16838"/>
          <w:pgMar w:top="2098" w:right="1474" w:bottom="1984" w:left="1587" w:header="851" w:footer="992" w:gutter="0"/>
          <w:pgNumType w:fmt="decimal"/>
          <w:cols w:space="425" w:num="1"/>
          <w:docGrid w:type="lines" w:linePitch="312" w:charSpace="0"/>
        </w:sectPr>
      </w:pPr>
    </w:p>
    <w:p w14:paraId="3798955D">
      <w:pPr>
        <w:pStyle w:val="27"/>
        <w:tabs>
          <w:tab w:val="left" w:pos="1248"/>
        </w:tabs>
        <w:topLinePunct/>
        <w:autoSpaceDE/>
        <w:autoSpaceDN/>
        <w:spacing w:line="576" w:lineRule="exact"/>
        <w:jc w:val="center"/>
        <w:outlineLvl w:val="0"/>
        <w:rPr>
          <w:rFonts w:ascii="Times New Roman" w:hAnsi="Times New Roman" w:eastAsia="方正小标宋简体" w:cs="方正仿宋简体"/>
          <w:b/>
          <w:spacing w:val="-2"/>
          <w:sz w:val="44"/>
          <w:szCs w:val="44"/>
        </w:rPr>
      </w:pPr>
      <w:bookmarkStart w:id="408" w:name="_Toc243241548"/>
      <w:r>
        <w:rPr>
          <w:rFonts w:hint="eastAsia" w:ascii="Times New Roman" w:hAnsi="Times New Roman" w:eastAsia="方正小标宋简体" w:cs="方正仿宋简体"/>
          <w:b/>
          <w:spacing w:val="-2"/>
          <w:sz w:val="44"/>
          <w:szCs w:val="44"/>
        </w:rPr>
        <w:t>第六章</w:t>
      </w:r>
      <w:bookmarkStart w:id="409" w:name="_Toc218422287"/>
      <w:r>
        <w:rPr>
          <w:rFonts w:hint="eastAsia" w:ascii="Times New Roman" w:hAnsi="Times New Roman" w:eastAsia="方正小标宋简体" w:cs="方正仿宋简体"/>
          <w:b/>
          <w:spacing w:val="-2"/>
          <w:sz w:val="44"/>
          <w:szCs w:val="44"/>
          <w:lang w:val="en-US" w:eastAsia="zh-CN"/>
        </w:rPr>
        <w:t xml:space="preserve"> 那曲市特色产业发展趋势与前景</w:t>
      </w:r>
      <w:bookmarkEnd w:id="408"/>
      <w:bookmarkEnd w:id="409"/>
    </w:p>
    <w:p w14:paraId="73A6ED52">
      <w:pPr>
        <w:spacing w:line="576" w:lineRule="exact"/>
        <w:ind w:firstLine="640" w:firstLineChars="200"/>
        <w:jc w:val="both"/>
        <w:rPr>
          <w:rFonts w:ascii="Times New Roman" w:hAnsi="Times New Roman" w:eastAsia="方正仿宋简体" w:cs="方正仿宋简体"/>
          <w:bCs/>
          <w:sz w:val="32"/>
          <w:szCs w:val="28"/>
          <w:lang w:val="en-US" w:eastAsia="zh-CN"/>
        </w:rPr>
      </w:pPr>
    </w:p>
    <w:p w14:paraId="65EB4924">
      <w:pPr>
        <w:spacing w:line="576" w:lineRule="exact"/>
        <w:ind w:firstLine="640" w:firstLineChars="200"/>
        <w:jc w:val="both"/>
        <w:rPr>
          <w:rFonts w:ascii="Times New Roman" w:hAnsi="Times New Roman" w:eastAsia="方正仿宋简体" w:cs="方正仿宋简体"/>
          <w:b/>
          <w:sz w:val="32"/>
          <w:szCs w:val="28"/>
          <w:lang w:val="en-US" w:eastAsia="zh-CN"/>
        </w:rPr>
      </w:pPr>
      <w:r>
        <w:rPr>
          <w:rFonts w:hint="eastAsia" w:ascii="Times New Roman" w:hAnsi="Times New Roman" w:eastAsia="方正仿宋简体" w:cs="方正仿宋简体"/>
          <w:bCs/>
          <w:sz w:val="32"/>
          <w:szCs w:val="28"/>
          <w:lang w:eastAsia="zh-CN"/>
        </w:rPr>
        <w:t>将技术创新与那曲市的特色产业相结合进行分析，能更清晰地看到其未来发展的具体路径和巨大潜力。这本质上是一场利用现代技术克服高原地理约束，实现产业跃迁的革命。</w:t>
      </w:r>
    </w:p>
    <w:p w14:paraId="0E61C8B7">
      <w:pPr>
        <w:pStyle w:val="8"/>
        <w:overflowPunct w:val="0"/>
        <w:topLinePunct/>
        <w:autoSpaceDE/>
        <w:autoSpaceDN/>
        <w:spacing w:before="0" w:line="576" w:lineRule="exact"/>
        <w:ind w:left="0" w:firstLine="640" w:firstLineChars="200"/>
        <w:jc w:val="both"/>
        <w:outlineLvl w:val="0"/>
        <w:rPr>
          <w:rFonts w:ascii="Times New Roman" w:hAnsi="Times New Roman" w:eastAsia="方正黑体简体" w:cs="方正仿宋简体"/>
          <w:sz w:val="32"/>
          <w:szCs w:val="32"/>
          <w:lang w:val="en-US" w:eastAsia="zh-CN"/>
        </w:rPr>
      </w:pPr>
      <w:bookmarkStart w:id="410" w:name="_Toc218422288"/>
      <w:bookmarkStart w:id="411" w:name="_Toc243241549"/>
      <w:r>
        <w:rPr>
          <w:rFonts w:hint="eastAsia" w:ascii="Times New Roman" w:hAnsi="Times New Roman" w:eastAsia="方正黑体简体" w:cs="方正仿宋简体"/>
          <w:sz w:val="32"/>
          <w:szCs w:val="32"/>
          <w:lang w:val="en-US" w:eastAsia="zh-CN"/>
        </w:rPr>
        <w:t>一、特色产业技术创新驱动趋势</w:t>
      </w:r>
      <w:bookmarkEnd w:id="410"/>
      <w:bookmarkEnd w:id="411"/>
    </w:p>
    <w:p w14:paraId="585DD7C4">
      <w:pPr>
        <w:spacing w:line="576" w:lineRule="exact"/>
        <w:ind w:firstLine="640" w:firstLineChars="200"/>
        <w:jc w:val="both"/>
        <w:rPr>
          <w:rFonts w:ascii="Times New Roman" w:hAnsi="Times New Roman" w:eastAsia="方正仿宋简体" w:cs="方正仿宋简体"/>
          <w:bCs/>
          <w:sz w:val="32"/>
          <w:szCs w:val="28"/>
          <w:lang w:eastAsia="zh-CN"/>
        </w:rPr>
      </w:pPr>
      <w:r>
        <w:rPr>
          <w:rFonts w:hint="eastAsia" w:ascii="Times New Roman" w:hAnsi="Times New Roman" w:eastAsia="方正仿宋简体" w:cs="方正仿宋简体"/>
          <w:bCs/>
          <w:sz w:val="32"/>
          <w:szCs w:val="28"/>
          <w:lang w:eastAsia="zh-CN"/>
        </w:rPr>
        <w:t>那曲市产业技术创新的核心驱动力是“需求刚性”和“技术溢出”。由于传统生产方式在高海拔地区面临极限，技术创新不再是“锦上添花”，而是“雪中送炭”，是突破发展瓶颈的唯一途径。</w:t>
      </w:r>
    </w:p>
    <w:p w14:paraId="232B5864">
      <w:pPr>
        <w:pStyle w:val="8"/>
        <w:overflowPunct w:val="0"/>
        <w:topLinePunct/>
        <w:autoSpaceDE/>
        <w:autoSpaceDN/>
        <w:spacing w:before="0" w:line="576" w:lineRule="exact"/>
        <w:ind w:left="0" w:firstLine="640" w:firstLineChars="200"/>
        <w:jc w:val="both"/>
        <w:outlineLvl w:val="1"/>
        <w:rPr>
          <w:rFonts w:ascii="Times New Roman" w:hAnsi="Times New Roman" w:eastAsia="方正楷体简体" w:cs="方正仿宋简体"/>
          <w:sz w:val="32"/>
          <w:szCs w:val="32"/>
          <w:lang w:eastAsia="zh-CN"/>
        </w:rPr>
      </w:pPr>
      <w:bookmarkStart w:id="412" w:name="_Toc243241550"/>
      <w:bookmarkStart w:id="413" w:name="OLE_LINK33"/>
      <w:r>
        <w:rPr>
          <w:rFonts w:hint="eastAsia" w:ascii="Times New Roman" w:hAnsi="Times New Roman" w:eastAsia="方正楷体简体" w:cs="方正仿宋简体"/>
          <w:sz w:val="32"/>
          <w:szCs w:val="32"/>
        </w:rPr>
        <w:t>（一）</w:t>
      </w:r>
      <w:r>
        <w:rPr>
          <w:rFonts w:hint="eastAsia" w:ascii="Times New Roman" w:hAnsi="Times New Roman" w:eastAsia="方正楷体简体" w:cs="方正仿宋简体"/>
          <w:sz w:val="32"/>
          <w:szCs w:val="32"/>
          <w:lang w:eastAsia="zh-CN"/>
        </w:rPr>
        <w:t>高原特色畜牧业</w:t>
      </w:r>
      <w:bookmarkEnd w:id="412"/>
    </w:p>
    <w:p w14:paraId="50EAB42B">
      <w:pPr>
        <w:spacing w:line="576" w:lineRule="exact"/>
        <w:ind w:firstLine="640" w:firstLineChars="200"/>
        <w:jc w:val="both"/>
        <w:rPr>
          <w:rFonts w:ascii="Times New Roman" w:hAnsi="Times New Roman" w:eastAsia="方正仿宋简体" w:cs="方正仿宋简体"/>
          <w:bCs/>
          <w:sz w:val="32"/>
          <w:szCs w:val="28"/>
          <w:lang w:eastAsia="zh-CN"/>
        </w:rPr>
      </w:pPr>
      <w:r>
        <w:rPr>
          <w:rFonts w:hint="eastAsia" w:ascii="Times New Roman" w:hAnsi="Times New Roman" w:eastAsia="方正仿宋简体" w:cs="方正仿宋简体"/>
          <w:bCs/>
          <w:sz w:val="32"/>
          <w:szCs w:val="28"/>
          <w:lang w:eastAsia="zh-CN"/>
        </w:rPr>
        <w:t>高原特色畜牧业的技术驱动趋势是：从“靠天养畜”到“智慧牧业”，这是技术创新需求最迫切、应用前景最广阔的领域。</w:t>
      </w:r>
    </w:p>
    <w:p w14:paraId="570EA62B">
      <w:pPr>
        <w:spacing w:line="576" w:lineRule="exact"/>
        <w:jc w:val="center"/>
        <w:rPr>
          <w:rFonts w:ascii="Times New Roman" w:hAnsi="Times New Roman" w:eastAsia="方正仿宋简体" w:cs="方正仿宋简体"/>
          <w:b/>
          <w:sz w:val="32"/>
          <w:szCs w:val="32"/>
          <w:lang w:eastAsia="zh-CN"/>
        </w:rPr>
      </w:pPr>
      <w:bookmarkStart w:id="414" w:name="OLE_LINK225"/>
      <w:r>
        <w:rPr>
          <w:rFonts w:hint="eastAsia" w:ascii="Times New Roman" w:hAnsi="Times New Roman" w:eastAsia="方正仿宋简体" w:cs="方正仿宋简体"/>
          <w:b/>
          <w:sz w:val="32"/>
          <w:szCs w:val="32"/>
          <w:lang w:eastAsia="zh-CN"/>
        </w:rPr>
        <w:t>那曲市高原特色畜牧业技术驱动趋势</w:t>
      </w:r>
    </w:p>
    <w:tbl>
      <w:tblPr>
        <w:tblStyle w:val="21"/>
        <w:tblW w:w="0" w:type="auto"/>
        <w:tblCellSpacing w:w="15" w:type="dxa"/>
        <w:tblInd w:w="0" w:type="dxa"/>
        <w:tblLayout w:type="autofit"/>
        <w:tblCellMar>
          <w:top w:w="15" w:type="dxa"/>
          <w:left w:w="15" w:type="dxa"/>
          <w:bottom w:w="15" w:type="dxa"/>
          <w:right w:w="15" w:type="dxa"/>
        </w:tblCellMar>
      </w:tblPr>
      <w:tblGrid>
        <w:gridCol w:w="2444"/>
        <w:gridCol w:w="1546"/>
        <w:gridCol w:w="4829"/>
      </w:tblGrid>
      <w:tr w14:paraId="657AA4D9">
        <w:tblPrEx>
          <w:tblCellMar>
            <w:top w:w="15" w:type="dxa"/>
            <w:left w:w="15" w:type="dxa"/>
            <w:bottom w:w="15" w:type="dxa"/>
            <w:right w:w="15" w:type="dxa"/>
          </w:tblCellMar>
        </w:tblPrEx>
        <w:trPr>
          <w:trHeight w:val="811" w:hRule="atLeast"/>
          <w:tblHeader/>
          <w:tblCellSpacing w:w="15" w:type="dxa"/>
        </w:trPr>
        <w:tc>
          <w:tcPr>
            <w:tcW w:w="2399" w:type="dxa"/>
            <w:tcBorders>
              <w:top w:val="single" w:color="auto" w:sz="4" w:space="0"/>
              <w:left w:val="single" w:color="auto" w:sz="4" w:space="0"/>
              <w:bottom w:val="single" w:color="auto" w:sz="4" w:space="0"/>
              <w:right w:val="single" w:color="auto" w:sz="4" w:space="0"/>
            </w:tcBorders>
            <w:vAlign w:val="center"/>
          </w:tcPr>
          <w:p w14:paraId="6809A393">
            <w:pPr>
              <w:spacing w:line="352"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产业现状与瓶颈</w:t>
            </w:r>
          </w:p>
        </w:tc>
        <w:tc>
          <w:tcPr>
            <w:tcW w:w="1516" w:type="dxa"/>
            <w:tcBorders>
              <w:top w:val="single" w:color="auto" w:sz="4" w:space="0"/>
              <w:bottom w:val="single" w:color="auto" w:sz="4" w:space="0"/>
              <w:right w:val="single" w:color="auto" w:sz="4" w:space="0"/>
            </w:tcBorders>
            <w:vAlign w:val="center"/>
          </w:tcPr>
          <w:p w14:paraId="54D52414">
            <w:pPr>
              <w:spacing w:line="352"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技术创新</w:t>
            </w:r>
          </w:p>
          <w:p w14:paraId="0FD5FFC4">
            <w:pPr>
              <w:spacing w:line="352"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驱动趋势</w:t>
            </w:r>
          </w:p>
        </w:tc>
        <w:tc>
          <w:tcPr>
            <w:tcW w:w="4784" w:type="dxa"/>
            <w:tcBorders>
              <w:top w:val="single" w:color="auto" w:sz="4" w:space="0"/>
              <w:bottom w:val="single" w:color="auto" w:sz="4" w:space="0"/>
              <w:right w:val="single" w:color="auto" w:sz="4" w:space="0"/>
            </w:tcBorders>
            <w:vAlign w:val="center"/>
          </w:tcPr>
          <w:p w14:paraId="1FC1B648">
            <w:pPr>
              <w:spacing w:line="352"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具体技术与应用</w:t>
            </w:r>
          </w:p>
        </w:tc>
      </w:tr>
      <w:tr w14:paraId="72930657">
        <w:tblPrEx>
          <w:tblCellMar>
            <w:top w:w="15" w:type="dxa"/>
            <w:left w:w="15" w:type="dxa"/>
            <w:bottom w:w="15" w:type="dxa"/>
            <w:right w:w="15" w:type="dxa"/>
          </w:tblCellMar>
        </w:tblPrEx>
        <w:trPr>
          <w:trHeight w:val="1630" w:hRule="atLeast"/>
          <w:tblCellSpacing w:w="15" w:type="dxa"/>
        </w:trPr>
        <w:tc>
          <w:tcPr>
            <w:tcW w:w="2399" w:type="dxa"/>
            <w:tcBorders>
              <w:left w:val="single" w:color="auto" w:sz="4" w:space="0"/>
              <w:bottom w:val="single" w:color="auto" w:sz="4" w:space="0"/>
              <w:right w:val="single" w:color="auto" w:sz="4" w:space="0"/>
            </w:tcBorders>
            <w:vAlign w:val="center"/>
          </w:tcPr>
          <w:p w14:paraId="2D12F79E">
            <w:pPr>
              <w:widowControl/>
              <w:spacing w:line="270" w:lineRule="exact"/>
              <w:jc w:val="both"/>
              <w:rPr>
                <w:rFonts w:ascii="Times New Roman" w:hAnsi="Times New Roman" w:eastAsia="方正仿宋简体" w:cs="方正仿宋简体"/>
                <w:bCs/>
                <w:sz w:val="21"/>
                <w:szCs w:val="21"/>
                <w:lang w:eastAsia="zh-CN"/>
              </w:rPr>
            </w:pPr>
            <w:bookmarkStart w:id="415" w:name="_Hlk237553933"/>
            <w:r>
              <w:rPr>
                <w:rFonts w:hint="eastAsia" w:ascii="Times New Roman" w:hAnsi="Times New Roman" w:eastAsia="方正仿宋简体" w:cs="方正仿宋简体"/>
                <w:bCs/>
                <w:sz w:val="21"/>
                <w:szCs w:val="21"/>
                <w:lang w:eastAsia="zh-CN"/>
              </w:rPr>
              <w:t>草场退化、雪灾、干旱等自然灾害导致牲畜大量死亡。</w:t>
            </w:r>
          </w:p>
        </w:tc>
        <w:tc>
          <w:tcPr>
            <w:tcW w:w="1516" w:type="dxa"/>
            <w:tcBorders>
              <w:bottom w:val="single" w:color="auto" w:sz="4" w:space="0"/>
              <w:right w:val="single" w:color="auto" w:sz="4" w:space="0"/>
            </w:tcBorders>
            <w:vAlign w:val="center"/>
          </w:tcPr>
          <w:p w14:paraId="4BB2399F">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智慧生态监测与预警。</w:t>
            </w:r>
          </w:p>
        </w:tc>
        <w:tc>
          <w:tcPr>
            <w:tcW w:w="4784" w:type="dxa"/>
            <w:tcBorders>
              <w:bottom w:val="single" w:color="auto" w:sz="4" w:space="0"/>
              <w:right w:val="single" w:color="auto" w:sz="4" w:space="0"/>
            </w:tcBorders>
            <w:vAlign w:val="center"/>
          </w:tcPr>
          <w:p w14:paraId="0F595EB5">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运用卫星遥感开展草场长势、雪线变化遥感解译；依托无人机开展局部草场、牲畜状况实地巡检；布设物联网地面传感器采集土壤湿度、温度数据；搭建畜牧业大数据平台，开展草畜平衡相关数据解析、灾害监测数据归集。</w:t>
            </w:r>
          </w:p>
        </w:tc>
      </w:tr>
      <w:tr w14:paraId="0FB22855">
        <w:tblPrEx>
          <w:tblCellMar>
            <w:top w:w="15" w:type="dxa"/>
            <w:left w:w="15" w:type="dxa"/>
            <w:bottom w:w="15" w:type="dxa"/>
            <w:right w:w="15" w:type="dxa"/>
          </w:tblCellMar>
        </w:tblPrEx>
        <w:trPr>
          <w:trHeight w:val="942" w:hRule="atLeast"/>
          <w:tblCellSpacing w:w="15" w:type="dxa"/>
        </w:trPr>
        <w:tc>
          <w:tcPr>
            <w:tcW w:w="2399" w:type="dxa"/>
            <w:tcBorders>
              <w:left w:val="single" w:color="auto" w:sz="4" w:space="0"/>
              <w:bottom w:val="single" w:color="auto" w:sz="4" w:space="0"/>
              <w:right w:val="single" w:color="auto" w:sz="4" w:space="0"/>
            </w:tcBorders>
            <w:vAlign w:val="center"/>
          </w:tcPr>
          <w:p w14:paraId="0D67277A">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牲畜盘点难，依赖人工放牧，人力成本高，良种选育滞后。</w:t>
            </w:r>
          </w:p>
        </w:tc>
        <w:tc>
          <w:tcPr>
            <w:tcW w:w="1516" w:type="dxa"/>
            <w:tcBorders>
              <w:bottom w:val="single" w:color="auto" w:sz="4" w:space="0"/>
              <w:right w:val="single" w:color="auto" w:sz="4" w:space="0"/>
            </w:tcBorders>
            <w:vAlign w:val="center"/>
          </w:tcPr>
          <w:p w14:paraId="49622E24">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数字化精准养殖。</w:t>
            </w:r>
          </w:p>
        </w:tc>
        <w:tc>
          <w:tcPr>
            <w:tcW w:w="4784" w:type="dxa"/>
            <w:tcBorders>
              <w:bottom w:val="single" w:color="auto" w:sz="4" w:space="0"/>
              <w:right w:val="single" w:color="auto" w:sz="4" w:space="0"/>
            </w:tcBorders>
            <w:vAlign w:val="center"/>
          </w:tcPr>
          <w:p w14:paraId="5690E51B">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部署牦牛北斗智能项圈，采集牲畜运动轨迹、活动量、发情周期等生理行为数据；落地电子围栏硬件设施，配置牲畜自动归集、精准投喂相关数字化设备。</w:t>
            </w:r>
          </w:p>
        </w:tc>
      </w:tr>
      <w:bookmarkEnd w:id="415"/>
      <w:tr w14:paraId="6BDC214D">
        <w:tblPrEx>
          <w:tblCellMar>
            <w:top w:w="15" w:type="dxa"/>
            <w:left w:w="15" w:type="dxa"/>
            <w:bottom w:w="15" w:type="dxa"/>
            <w:right w:w="15" w:type="dxa"/>
          </w:tblCellMar>
        </w:tblPrEx>
        <w:trPr>
          <w:trHeight w:val="874" w:hRule="atLeast"/>
          <w:tblCellSpacing w:w="15" w:type="dxa"/>
        </w:trPr>
        <w:tc>
          <w:tcPr>
            <w:tcW w:w="2399" w:type="dxa"/>
            <w:tcBorders>
              <w:left w:val="single" w:color="auto" w:sz="4" w:space="0"/>
              <w:bottom w:val="single" w:color="auto" w:sz="4" w:space="0"/>
              <w:right w:val="single" w:color="auto" w:sz="4" w:space="0"/>
            </w:tcBorders>
            <w:vAlign w:val="center"/>
          </w:tcPr>
          <w:p w14:paraId="40C21175">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主要以出售原材料为主，品牌化、标准化程度低。</w:t>
            </w:r>
          </w:p>
        </w:tc>
        <w:tc>
          <w:tcPr>
            <w:tcW w:w="1516" w:type="dxa"/>
            <w:tcBorders>
              <w:bottom w:val="single" w:color="auto" w:sz="4" w:space="0"/>
              <w:right w:val="single" w:color="auto" w:sz="4" w:space="0"/>
            </w:tcBorders>
            <w:vAlign w:val="center"/>
          </w:tcPr>
          <w:p w14:paraId="70248167">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全链条溯源与价值提升。</w:t>
            </w:r>
          </w:p>
        </w:tc>
        <w:tc>
          <w:tcPr>
            <w:tcW w:w="4784" w:type="dxa"/>
            <w:tcBorders>
              <w:bottom w:val="single" w:color="auto" w:sz="4" w:space="0"/>
              <w:right w:val="single" w:color="auto" w:sz="4" w:space="0"/>
            </w:tcBorders>
            <w:vAlign w:val="center"/>
          </w:tcPr>
          <w:p w14:paraId="43854CB2">
            <w:pPr>
              <w:widowControl/>
              <w:spacing w:line="270" w:lineRule="exact"/>
              <w:jc w:val="both"/>
              <w:rPr>
                <w:rFonts w:ascii="Times New Roman" w:hAnsi="Times New Roman" w:eastAsia="方正仿宋简体" w:cs="方正仿宋简体"/>
                <w:bCs/>
                <w:sz w:val="21"/>
                <w:szCs w:val="21"/>
                <w:lang w:eastAsia="zh-CN"/>
              </w:rPr>
            </w:pPr>
            <w:bookmarkStart w:id="416" w:name="OLE_LINK227"/>
            <w:r>
              <w:rPr>
                <w:rFonts w:ascii="Times New Roman" w:hAnsi="Times New Roman" w:eastAsia="方正仿宋简体" w:cs="方正仿宋简体"/>
                <w:bCs/>
                <w:sz w:val="21"/>
                <w:szCs w:val="21"/>
                <w:lang w:eastAsia="zh-CN"/>
              </w:rPr>
              <w:t>采集归集牦牛生长环境、饲养过程、检疫检测全流程原始数据；搭建产品溯源数据库，配置二维码溯源载体，完成生产端信息与消费端查询端口对接。</w:t>
            </w:r>
            <w:bookmarkEnd w:id="416"/>
          </w:p>
        </w:tc>
      </w:tr>
      <w:bookmarkEnd w:id="414"/>
    </w:tbl>
    <w:p w14:paraId="76F6829A">
      <w:pPr>
        <w:spacing w:line="576" w:lineRule="exact"/>
        <w:ind w:firstLine="643" w:firstLineChars="200"/>
        <w:jc w:val="both"/>
        <w:rPr>
          <w:rFonts w:ascii="Times New Roman" w:hAnsi="Times New Roman" w:eastAsia="方正仿宋简体" w:cs="方正仿宋简体"/>
          <w:bCs/>
          <w:sz w:val="32"/>
          <w:szCs w:val="28"/>
          <w:lang w:eastAsia="zh-CN"/>
        </w:rPr>
      </w:pPr>
      <w:r>
        <w:rPr>
          <w:rFonts w:hint="eastAsia" w:ascii="Times New Roman" w:hAnsi="Times New Roman" w:eastAsia="方正仿宋简体" w:cs="方正仿宋简体"/>
          <w:b/>
          <w:sz w:val="32"/>
          <w:szCs w:val="28"/>
          <w:lang w:eastAsia="zh-CN"/>
        </w:rPr>
        <w:t>驱动效果：</w:t>
      </w:r>
      <w:r>
        <w:rPr>
          <w:rFonts w:hint="eastAsia" w:ascii="Times New Roman" w:hAnsi="Times New Roman" w:eastAsia="方正仿宋简体" w:cs="方正仿宋简体"/>
          <w:bCs/>
          <w:sz w:val="32"/>
          <w:szCs w:val="28"/>
          <w:lang w:eastAsia="zh-CN"/>
        </w:rPr>
        <w:t>降低养殖风险和人工作业强度，提升牦牛出栏率和品质，通过溯源技术实现品牌溢价，从根本上增加牧民收入。</w:t>
      </w:r>
    </w:p>
    <w:bookmarkEnd w:id="413"/>
    <w:p w14:paraId="69FD430E">
      <w:pPr>
        <w:pStyle w:val="8"/>
        <w:overflowPunct w:val="0"/>
        <w:topLinePunct/>
        <w:autoSpaceDE/>
        <w:autoSpaceDN/>
        <w:spacing w:before="0" w:line="576" w:lineRule="exact"/>
        <w:ind w:left="0" w:firstLine="640" w:firstLineChars="200"/>
        <w:jc w:val="both"/>
        <w:outlineLvl w:val="1"/>
        <w:rPr>
          <w:rFonts w:ascii="Times New Roman" w:hAnsi="Times New Roman" w:eastAsia="方正楷体简体" w:cs="方正楷体简体"/>
          <w:sz w:val="32"/>
          <w:szCs w:val="32"/>
        </w:rPr>
      </w:pPr>
      <w:bookmarkStart w:id="417" w:name="_Toc243241551"/>
      <w:r>
        <w:rPr>
          <w:rFonts w:hint="eastAsia" w:ascii="Times New Roman" w:hAnsi="Times New Roman" w:eastAsia="方正楷体简体" w:cs="方正楷体简体"/>
          <w:sz w:val="32"/>
          <w:szCs w:val="32"/>
        </w:rPr>
        <w:t>（二）藏医药产业</w:t>
      </w:r>
      <w:bookmarkEnd w:id="417"/>
    </w:p>
    <w:p w14:paraId="34026CB1">
      <w:pPr>
        <w:spacing w:line="576" w:lineRule="exact"/>
        <w:ind w:firstLine="640" w:firstLineChars="200"/>
        <w:jc w:val="both"/>
        <w:rPr>
          <w:rFonts w:ascii="Times New Roman" w:hAnsi="Times New Roman" w:eastAsia="方正仿宋简体" w:cs="方正仿宋简体"/>
          <w:bCs/>
          <w:sz w:val="32"/>
          <w:szCs w:val="28"/>
          <w:lang w:eastAsia="zh-CN"/>
        </w:rPr>
      </w:pPr>
      <w:bookmarkStart w:id="418" w:name="OLE_LINK228"/>
      <w:r>
        <w:rPr>
          <w:rFonts w:hint="eastAsia" w:ascii="Times New Roman" w:hAnsi="Times New Roman" w:eastAsia="方正仿宋简体" w:cs="方正仿宋简体"/>
          <w:bCs/>
          <w:sz w:val="32"/>
          <w:szCs w:val="28"/>
          <w:lang w:eastAsia="zh-CN"/>
        </w:rPr>
        <w:t>那曲市藏医药产业正通过一系列技术革新，从传统经验模式向现代化、标准化和规模化生产转型。下表梳理了其主要的技术驱动趋势。</w:t>
      </w:r>
    </w:p>
    <w:p w14:paraId="5C109EC3">
      <w:pPr>
        <w:spacing w:line="576" w:lineRule="exact"/>
        <w:jc w:val="center"/>
        <w:rPr>
          <w:rFonts w:ascii="Times New Roman" w:hAnsi="Times New Roman" w:eastAsia="方正仿宋简体" w:cs="方正仿宋简体"/>
          <w:bCs/>
          <w:sz w:val="32"/>
          <w:szCs w:val="28"/>
        </w:rPr>
      </w:pPr>
      <w:r>
        <w:rPr>
          <w:rFonts w:hint="eastAsia" w:ascii="Times New Roman" w:hAnsi="Times New Roman" w:eastAsia="方正仿宋简体" w:cs="方正仿宋简体"/>
          <w:b/>
          <w:sz w:val="32"/>
          <w:szCs w:val="32"/>
          <w:lang w:eastAsia="zh-CN"/>
        </w:rPr>
        <w:t>那曲市藏医药产业技术驱动趋势</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16"/>
        <w:gridCol w:w="3453"/>
        <w:gridCol w:w="3066"/>
      </w:tblGrid>
      <w:tr w14:paraId="5733B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355" w:type="dxa"/>
          </w:tcPr>
          <w:p w14:paraId="04A77E3A">
            <w:pPr>
              <w:spacing w:line="352"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技术领域</w:t>
            </w:r>
          </w:p>
        </w:tc>
        <w:tc>
          <w:tcPr>
            <w:tcW w:w="3511" w:type="dxa"/>
          </w:tcPr>
          <w:p w14:paraId="28A23350">
            <w:pPr>
              <w:spacing w:line="352"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技术驱动表现</w:t>
            </w:r>
          </w:p>
        </w:tc>
        <w:tc>
          <w:tcPr>
            <w:tcW w:w="3112" w:type="dxa"/>
          </w:tcPr>
          <w:p w14:paraId="71975F66">
            <w:pPr>
              <w:spacing w:line="352"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具体案例</w:t>
            </w:r>
          </w:p>
        </w:tc>
      </w:tr>
      <w:tr w14:paraId="58112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trPr>
        <w:tc>
          <w:tcPr>
            <w:tcW w:w="2355" w:type="dxa"/>
            <w:vAlign w:val="center"/>
          </w:tcPr>
          <w:p w14:paraId="75DA1835">
            <w:pPr>
              <w:widowControl/>
              <w:spacing w:line="270" w:lineRule="exact"/>
              <w:jc w:val="center"/>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生产工艺现代化</w:t>
            </w:r>
          </w:p>
        </w:tc>
        <w:tc>
          <w:tcPr>
            <w:tcW w:w="3511" w:type="dxa"/>
            <w:vAlign w:val="center"/>
          </w:tcPr>
          <w:p w14:paraId="4ADF8CE9">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生产空间从传统作坊升级为标准化洁净车间，并引入现代化生产线和精密检测仪器，实现规范化作业。</w:t>
            </w:r>
          </w:p>
        </w:tc>
        <w:tc>
          <w:tcPr>
            <w:tcW w:w="3112" w:type="dxa"/>
            <w:vAlign w:val="center"/>
          </w:tcPr>
          <w:p w14:paraId="7D2D9098">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val="en-US" w:eastAsia="zh-CN"/>
              </w:rPr>
              <w:t>申扎县藏医院制剂室配置高效液相色谱仪等精密检测设备，配套标准化生产车间及现代化生产流水线，落实规范化生产作业流程。</w:t>
            </w:r>
          </w:p>
        </w:tc>
      </w:tr>
      <w:tr w14:paraId="64A5D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trPr>
        <w:tc>
          <w:tcPr>
            <w:tcW w:w="2355" w:type="dxa"/>
            <w:vAlign w:val="center"/>
          </w:tcPr>
          <w:p w14:paraId="24576991">
            <w:pPr>
              <w:widowControl/>
              <w:spacing w:line="270" w:lineRule="exact"/>
              <w:jc w:val="center"/>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炮制技术革新</w:t>
            </w:r>
          </w:p>
        </w:tc>
        <w:tc>
          <w:tcPr>
            <w:tcW w:w="3511" w:type="dxa"/>
            <w:vAlign w:val="center"/>
          </w:tcPr>
          <w:p w14:paraId="487992C7">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针对关键工艺（如“佐太”炮制）进行装备创新和流程优化，通过研发专用设备建立标准化生产线，大幅提升效率并降低成本。</w:t>
            </w:r>
          </w:p>
        </w:tc>
        <w:tc>
          <w:tcPr>
            <w:tcW w:w="3112" w:type="dxa"/>
            <w:vAlign w:val="center"/>
          </w:tcPr>
          <w:p w14:paraId="7B00B17C">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val="en-US" w:eastAsia="zh-CN"/>
              </w:rPr>
              <w:t>开展“佐太”核心炮制工艺专项优化，研发适配专用生产设备，重构标准化炮制生产流程，搭建可复制的规范化炮制生产线。</w:t>
            </w:r>
          </w:p>
        </w:tc>
      </w:tr>
      <w:tr w14:paraId="271D5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3" w:hRule="atLeast"/>
        </w:trPr>
        <w:tc>
          <w:tcPr>
            <w:tcW w:w="2355" w:type="dxa"/>
            <w:vAlign w:val="center"/>
          </w:tcPr>
          <w:p w14:paraId="482B0259">
            <w:pPr>
              <w:widowControl/>
              <w:spacing w:line="270" w:lineRule="exact"/>
              <w:jc w:val="center"/>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资源可持续培育</w:t>
            </w:r>
          </w:p>
        </w:tc>
        <w:tc>
          <w:tcPr>
            <w:tcW w:w="3511" w:type="dxa"/>
            <w:vAlign w:val="center"/>
          </w:tcPr>
          <w:p w14:paraId="3505EDB2">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推广林下仿野生种植等生态培育技术，并对濒危藏药材进行人工繁育研究，保障原料供给与生态保护协同发展。</w:t>
            </w:r>
          </w:p>
        </w:tc>
        <w:tc>
          <w:tcPr>
            <w:tcW w:w="3112" w:type="dxa"/>
            <w:vAlign w:val="center"/>
          </w:tcPr>
          <w:p w14:paraId="3F7C8594">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val="en-US" w:eastAsia="zh-CN"/>
              </w:rPr>
              <w:t>落地灵芝、黄精等藏药材林下仿野生种植模式；甘露科技开展绿绒蒿、桃儿七等濒危藏药材人工繁育技术研究与规模化种植实操。</w:t>
            </w:r>
          </w:p>
        </w:tc>
      </w:tr>
      <w:tr w14:paraId="7955E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trPr>
        <w:tc>
          <w:tcPr>
            <w:tcW w:w="2355" w:type="dxa"/>
            <w:vAlign w:val="center"/>
          </w:tcPr>
          <w:p w14:paraId="2B83E7FE">
            <w:pPr>
              <w:widowControl/>
              <w:spacing w:line="270" w:lineRule="exact"/>
              <w:jc w:val="center"/>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质量控制与标准化</w:t>
            </w:r>
          </w:p>
        </w:tc>
        <w:tc>
          <w:tcPr>
            <w:tcW w:w="3511" w:type="dxa"/>
            <w:vAlign w:val="center"/>
          </w:tcPr>
          <w:p w14:paraId="7E67BAF6">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构建从原料到成品的全链条质控体系，并积极参与地方与国家标准研究，为藏药获取“标准身份证”奠定基础。</w:t>
            </w:r>
          </w:p>
        </w:tc>
        <w:tc>
          <w:tcPr>
            <w:tcW w:w="3112" w:type="dxa"/>
            <w:vAlign w:val="center"/>
          </w:tcPr>
          <w:p w14:paraId="6C7C5857">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val="en-US" w:eastAsia="zh-CN"/>
              </w:rPr>
              <w:t>依托自治区“藏药标准三年行动计划”，参与研制发布“藏黄精”等地方标准，推进藏药品种纳入国家药品标准体系的申报梳理工作。</w:t>
            </w:r>
          </w:p>
        </w:tc>
      </w:tr>
      <w:tr w14:paraId="621BE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3" w:hRule="atLeast"/>
        </w:trPr>
        <w:tc>
          <w:tcPr>
            <w:tcW w:w="2355" w:type="dxa"/>
            <w:vAlign w:val="center"/>
          </w:tcPr>
          <w:p w14:paraId="70939658">
            <w:pPr>
              <w:widowControl/>
              <w:spacing w:line="270" w:lineRule="exact"/>
              <w:jc w:val="center"/>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产业融合与创新</w:t>
            </w:r>
          </w:p>
        </w:tc>
        <w:tc>
          <w:tcPr>
            <w:tcW w:w="3511" w:type="dxa"/>
            <w:vAlign w:val="center"/>
          </w:tcPr>
          <w:p w14:paraId="68FBA46E">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运用数字化技术建设藏药资源库，保存经典方剂数据，并探索“藏医药+”模式，将传统医药与文化、旅游、康养等产业深度融合。</w:t>
            </w:r>
          </w:p>
        </w:tc>
        <w:tc>
          <w:tcPr>
            <w:tcW w:w="3112" w:type="dxa"/>
            <w:vAlign w:val="center"/>
          </w:tcPr>
          <w:p w14:paraId="18DFF08C">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依托“中国藏药资源库”，完成1613首藏医药经典方剂信息录入与数字化归档；推进藏医药与文化、旅游、康养业态的场景融合布局。</w:t>
            </w:r>
          </w:p>
        </w:tc>
      </w:tr>
      <w:bookmarkEnd w:id="418"/>
    </w:tbl>
    <w:p w14:paraId="62F3B1FD">
      <w:pPr>
        <w:spacing w:line="576" w:lineRule="exact"/>
        <w:ind w:firstLine="643" w:firstLineChars="200"/>
        <w:jc w:val="both"/>
        <w:rPr>
          <w:rFonts w:ascii="Times New Roman" w:hAnsi="Times New Roman" w:eastAsia="方正仿宋简体" w:cs="方正仿宋简体"/>
          <w:bCs/>
          <w:sz w:val="32"/>
          <w:szCs w:val="28"/>
          <w:lang w:eastAsia="zh-CN"/>
        </w:rPr>
      </w:pPr>
      <w:r>
        <w:rPr>
          <w:rFonts w:hint="eastAsia" w:ascii="Times New Roman" w:hAnsi="Times New Roman" w:eastAsia="方正仿宋简体" w:cs="方正仿宋简体"/>
          <w:b/>
          <w:sz w:val="32"/>
          <w:szCs w:val="28"/>
          <w:lang w:eastAsia="zh-CN"/>
        </w:rPr>
        <w:t>驱动效果：</w:t>
      </w:r>
      <w:r>
        <w:rPr>
          <w:rFonts w:hint="eastAsia" w:ascii="Times New Roman" w:hAnsi="Times New Roman" w:eastAsia="方正仿宋简体" w:cs="方正仿宋简体"/>
          <w:bCs/>
          <w:sz w:val="32"/>
          <w:szCs w:val="28"/>
          <w:lang w:eastAsia="zh-CN"/>
        </w:rPr>
        <w:t>主要体现在夯实产业根基、保障可持续发展、创造多元价值等方面，技术驱动正在使那曲市的藏医药产业从深度依赖传统理论指导、传统文献与经验的传统领域，转变为一个基于标准、数据和创新，兼具经济效益、社会效益和生态效益的现代产业体系。</w:t>
      </w:r>
    </w:p>
    <w:p w14:paraId="3A0026DB">
      <w:pPr>
        <w:pStyle w:val="8"/>
        <w:overflowPunct w:val="0"/>
        <w:topLinePunct/>
        <w:autoSpaceDE/>
        <w:autoSpaceDN/>
        <w:spacing w:before="0" w:line="576" w:lineRule="exact"/>
        <w:ind w:left="0" w:firstLine="640" w:firstLineChars="200"/>
        <w:jc w:val="both"/>
        <w:outlineLvl w:val="1"/>
        <w:rPr>
          <w:rFonts w:ascii="Times New Roman" w:hAnsi="Times New Roman" w:eastAsia="方正楷体简体" w:cs="方正楷体简体"/>
          <w:sz w:val="32"/>
          <w:szCs w:val="32"/>
        </w:rPr>
      </w:pPr>
      <w:bookmarkStart w:id="419" w:name="_Toc243241552"/>
      <w:r>
        <w:rPr>
          <w:rFonts w:hint="eastAsia" w:ascii="Times New Roman" w:hAnsi="Times New Roman" w:eastAsia="方正楷体简体" w:cs="方正楷体简体"/>
          <w:sz w:val="32"/>
          <w:szCs w:val="32"/>
        </w:rPr>
        <w:t>（三）清洁能源产业</w:t>
      </w:r>
      <w:bookmarkEnd w:id="419"/>
    </w:p>
    <w:p w14:paraId="32DF6146">
      <w:pPr>
        <w:spacing w:line="576" w:lineRule="exact"/>
        <w:ind w:firstLine="640" w:firstLineChars="200"/>
        <w:jc w:val="both"/>
        <w:rPr>
          <w:rFonts w:ascii="Times New Roman" w:hAnsi="Times New Roman" w:eastAsia="方正仿宋简体" w:cs="方正仿宋简体"/>
          <w:bCs/>
          <w:sz w:val="32"/>
          <w:szCs w:val="28"/>
          <w:lang w:eastAsia="zh-CN"/>
        </w:rPr>
      </w:pPr>
      <w:r>
        <w:rPr>
          <w:rFonts w:hint="eastAsia" w:ascii="Times New Roman" w:hAnsi="Times New Roman" w:eastAsia="方正仿宋简体" w:cs="方正仿宋简体"/>
          <w:bCs/>
          <w:sz w:val="32"/>
          <w:szCs w:val="28"/>
          <w:lang w:eastAsia="zh-CN"/>
        </w:rPr>
        <w:t>那曲市依托其丰富的风、光、地热等自然资源，正通过一系列技术创新，推动清洁能源产业向多元化、规模化、高效益方向发展。</w:t>
      </w:r>
    </w:p>
    <w:p w14:paraId="3EA3795F">
      <w:pPr>
        <w:spacing w:line="576" w:lineRule="exact"/>
        <w:jc w:val="center"/>
        <w:rPr>
          <w:rFonts w:ascii="Times New Roman" w:hAnsi="Times New Roman" w:eastAsia="方正仿宋简体" w:cs="方正仿宋简体"/>
          <w:b/>
          <w:sz w:val="32"/>
          <w:szCs w:val="32"/>
          <w:lang w:eastAsia="zh-CN"/>
        </w:rPr>
      </w:pPr>
      <w:bookmarkStart w:id="420" w:name="OLE_LINK231"/>
      <w:r>
        <w:rPr>
          <w:rFonts w:hint="eastAsia" w:ascii="Times New Roman" w:hAnsi="Times New Roman" w:eastAsia="方正仿宋简体" w:cs="方正仿宋简体"/>
          <w:b/>
          <w:sz w:val="32"/>
          <w:szCs w:val="32"/>
          <w:lang w:eastAsia="zh-CN"/>
        </w:rPr>
        <w:t>那曲市清洁能源产业技术驱动趋势</w:t>
      </w:r>
    </w:p>
    <w:tbl>
      <w:tblPr>
        <w:tblStyle w:val="22"/>
        <w:tblW w:w="89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1"/>
        <w:gridCol w:w="3371"/>
        <w:gridCol w:w="3956"/>
      </w:tblGrid>
      <w:tr w14:paraId="6C1A1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651" w:type="dxa"/>
            <w:vAlign w:val="center"/>
          </w:tcPr>
          <w:p w14:paraId="2073FB2B">
            <w:pPr>
              <w:spacing w:line="352" w:lineRule="exact"/>
              <w:jc w:val="center"/>
              <w:rPr>
                <w:rFonts w:ascii="Times New Roman" w:hAnsi="Times New Roman" w:eastAsia="方正仿宋简体" w:cs="方正仿宋简体"/>
                <w:b/>
                <w:sz w:val="24"/>
                <w:szCs w:val="24"/>
                <w:lang w:eastAsia="zh-CN"/>
              </w:rPr>
            </w:pPr>
            <w:bookmarkStart w:id="421" w:name="_Hlk237555684"/>
            <w:r>
              <w:rPr>
                <w:rFonts w:hint="eastAsia" w:ascii="Times New Roman" w:hAnsi="Times New Roman" w:eastAsia="方正仿宋简体" w:cs="方正仿宋简体"/>
                <w:b/>
                <w:sz w:val="24"/>
                <w:szCs w:val="24"/>
                <w:lang w:eastAsia="zh-CN"/>
              </w:rPr>
              <w:t>技术领域</w:t>
            </w:r>
          </w:p>
        </w:tc>
        <w:tc>
          <w:tcPr>
            <w:tcW w:w="3371" w:type="dxa"/>
            <w:vAlign w:val="center"/>
          </w:tcPr>
          <w:p w14:paraId="1C77694E">
            <w:pPr>
              <w:spacing w:line="352"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具体技术表现</w:t>
            </w:r>
          </w:p>
        </w:tc>
        <w:tc>
          <w:tcPr>
            <w:tcW w:w="3956" w:type="dxa"/>
            <w:vAlign w:val="center"/>
          </w:tcPr>
          <w:p w14:paraId="2C0F9028">
            <w:pPr>
              <w:spacing w:line="352"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驱动案例</w:t>
            </w:r>
          </w:p>
        </w:tc>
      </w:tr>
      <w:bookmarkEnd w:id="421"/>
      <w:tr w14:paraId="03026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4" w:hRule="atLeast"/>
        </w:trPr>
        <w:tc>
          <w:tcPr>
            <w:tcW w:w="1651" w:type="dxa"/>
            <w:vAlign w:val="center"/>
          </w:tcPr>
          <w:p w14:paraId="402D1179">
            <w:pPr>
              <w:widowControl/>
              <w:spacing w:line="270" w:lineRule="exact"/>
              <w:jc w:val="center"/>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风光储一体化与多能互补</w:t>
            </w:r>
          </w:p>
        </w:tc>
        <w:tc>
          <w:tcPr>
            <w:tcW w:w="3371" w:type="dxa"/>
            <w:vAlign w:val="center"/>
          </w:tcPr>
          <w:p w14:paraId="1C041B9C">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布局构网型储能项目，开展抽水蓄能规划，搭建风光储、风光氢储多能协同系统。</w:t>
            </w:r>
          </w:p>
        </w:tc>
        <w:tc>
          <w:tcPr>
            <w:tcW w:w="3956" w:type="dxa"/>
            <w:vAlign w:val="center"/>
          </w:tcPr>
          <w:p w14:paraId="64A4028A">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落地构网型储能设施，推进抽水蓄能前期规划工作，搭建多能协同硬件系统，开展那电外送相关工程建设，开展高原多能协同技术场景落地实践。</w:t>
            </w:r>
          </w:p>
        </w:tc>
      </w:tr>
      <w:tr w14:paraId="708B2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7" w:hRule="atLeast"/>
        </w:trPr>
        <w:tc>
          <w:tcPr>
            <w:tcW w:w="1651" w:type="dxa"/>
            <w:vAlign w:val="center"/>
          </w:tcPr>
          <w:p w14:paraId="0DCE43E7">
            <w:pPr>
              <w:widowControl/>
              <w:spacing w:line="270" w:lineRule="exact"/>
              <w:jc w:val="center"/>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地热资源可持续利用</w:t>
            </w:r>
          </w:p>
        </w:tc>
        <w:tc>
          <w:tcPr>
            <w:tcW w:w="3371" w:type="dxa"/>
            <w:vAlign w:val="center"/>
          </w:tcPr>
          <w:p w14:paraId="3D0FA04E">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eastAsia="zh-CN"/>
              </w:rPr>
              <w:t>采用水热型地热利用技术，布设换热站开展热能提取，实施地下水同层回灌作业，落实取热不取水工艺。</w:t>
            </w:r>
          </w:p>
        </w:tc>
        <w:tc>
          <w:tcPr>
            <w:tcW w:w="3956" w:type="dxa"/>
            <w:vAlign w:val="center"/>
          </w:tcPr>
          <w:p w14:paraId="1B85A156">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eastAsia="zh-CN"/>
              </w:rPr>
              <w:t>搭建地热换热站点，开展地热热能提取作业，执行地下水100%同层回灌工艺，布设地热集中供暖硬件设施。</w:t>
            </w:r>
          </w:p>
        </w:tc>
      </w:tr>
      <w:tr w14:paraId="27CD1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3" w:hRule="atLeast"/>
        </w:trPr>
        <w:tc>
          <w:tcPr>
            <w:tcW w:w="1651" w:type="dxa"/>
            <w:vAlign w:val="center"/>
          </w:tcPr>
          <w:p w14:paraId="2488941C">
            <w:pPr>
              <w:widowControl/>
              <w:spacing w:line="270" w:lineRule="exact"/>
              <w:jc w:val="center"/>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高原适应性技术攻关</w:t>
            </w:r>
          </w:p>
        </w:tc>
        <w:tc>
          <w:tcPr>
            <w:tcW w:w="3371" w:type="dxa"/>
            <w:vAlign w:val="center"/>
          </w:tcPr>
          <w:p w14:paraId="26A6BEA1">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针对高海拔低气压、强紫外线、极端低温环境，开展高原型风电机组、纯氢燃气轮机、适配温差环境的太阳能光热技术研发与落地应用。</w:t>
            </w:r>
          </w:p>
        </w:tc>
        <w:tc>
          <w:tcPr>
            <w:tcW w:w="3956" w:type="dxa"/>
            <w:vAlign w:val="center"/>
          </w:tcPr>
          <w:p w14:paraId="65EBF2C3">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开展高原型风电机组、纯氢燃气轮机、太阳能光热设备的适配化研发，完成对应设备高原现场布设与调试。</w:t>
            </w:r>
          </w:p>
        </w:tc>
      </w:tr>
      <w:tr w14:paraId="65E0B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8" w:hRule="atLeast"/>
        </w:trPr>
        <w:tc>
          <w:tcPr>
            <w:tcW w:w="1651" w:type="dxa"/>
            <w:vAlign w:val="center"/>
          </w:tcPr>
          <w:p w14:paraId="0341F49F">
            <w:pPr>
              <w:widowControl/>
              <w:spacing w:line="270" w:lineRule="exact"/>
              <w:jc w:val="center"/>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生态友好型开发模式</w:t>
            </w:r>
          </w:p>
        </w:tc>
        <w:tc>
          <w:tcPr>
            <w:tcW w:w="3371" w:type="dxa"/>
            <w:vAlign w:val="center"/>
          </w:tcPr>
          <w:p w14:paraId="1452288B">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推行牧光互补开发模式，光伏支架架设高度设置1.8米以上，项目建设执行生态保护红线管控要求。</w:t>
            </w:r>
          </w:p>
        </w:tc>
        <w:tc>
          <w:tcPr>
            <w:tcW w:w="3956" w:type="dxa"/>
            <w:vAlign w:val="center"/>
          </w:tcPr>
          <w:p w14:paraId="2EEA197E">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eastAsia="zh-CN"/>
              </w:rPr>
              <w:t>实施光伏支架加高布设，落地牧光互补项目，项目选址、施工环节落实生态保护红线管控相关工程举措。</w:t>
            </w:r>
          </w:p>
        </w:tc>
      </w:tr>
      <w:bookmarkEnd w:id="420"/>
    </w:tbl>
    <w:p w14:paraId="798DECC9">
      <w:pPr>
        <w:spacing w:line="576" w:lineRule="exact"/>
        <w:ind w:firstLine="643" w:firstLineChars="200"/>
        <w:jc w:val="both"/>
        <w:rPr>
          <w:rFonts w:ascii="Times New Roman" w:hAnsi="Times New Roman" w:eastAsia="方正仿宋简体" w:cs="方正仿宋简体"/>
          <w:bCs/>
          <w:sz w:val="32"/>
          <w:szCs w:val="28"/>
          <w:lang w:eastAsia="zh-CN"/>
        </w:rPr>
      </w:pPr>
      <w:r>
        <w:rPr>
          <w:rFonts w:hint="eastAsia" w:ascii="Times New Roman" w:hAnsi="Times New Roman" w:eastAsia="方正仿宋简体" w:cs="方正仿宋简体"/>
          <w:b/>
          <w:sz w:val="32"/>
          <w:szCs w:val="28"/>
          <w:lang w:eastAsia="zh-CN"/>
        </w:rPr>
        <w:t>驱动效果：</w:t>
      </w:r>
      <w:r>
        <w:rPr>
          <w:rFonts w:hint="eastAsia" w:ascii="Times New Roman" w:hAnsi="Times New Roman" w:eastAsia="方正仿宋简体" w:cs="方正仿宋简体"/>
          <w:bCs/>
          <w:sz w:val="32"/>
          <w:szCs w:val="28"/>
          <w:lang w:eastAsia="zh-CN"/>
        </w:rPr>
        <w:t>从单一到系统、从并网到外送、从开发到保护，这些技术趋势相互关联，共同构成了那曲市清洁能源产业高质量发展的核心驱动力。</w:t>
      </w:r>
    </w:p>
    <w:p w14:paraId="54C1D9A6">
      <w:pPr>
        <w:pStyle w:val="8"/>
        <w:overflowPunct w:val="0"/>
        <w:topLinePunct/>
        <w:autoSpaceDE/>
        <w:autoSpaceDN/>
        <w:spacing w:before="0" w:line="576" w:lineRule="exact"/>
        <w:ind w:left="0" w:firstLine="640" w:firstLineChars="200"/>
        <w:jc w:val="both"/>
        <w:outlineLvl w:val="1"/>
        <w:rPr>
          <w:rFonts w:ascii="Times New Roman" w:hAnsi="Times New Roman" w:eastAsia="方正楷体简体" w:cs="方正楷体简体"/>
          <w:sz w:val="32"/>
          <w:szCs w:val="32"/>
        </w:rPr>
      </w:pPr>
      <w:bookmarkStart w:id="422" w:name="_Toc243241553"/>
      <w:r>
        <w:rPr>
          <w:rFonts w:hint="eastAsia" w:ascii="Times New Roman" w:hAnsi="Times New Roman" w:eastAsia="方正楷体简体" w:cs="方正楷体简体"/>
          <w:sz w:val="32"/>
          <w:szCs w:val="32"/>
        </w:rPr>
        <w:t>（四）生态文旅产业</w:t>
      </w:r>
      <w:bookmarkEnd w:id="422"/>
    </w:p>
    <w:p w14:paraId="2BC78E3F">
      <w:pPr>
        <w:spacing w:line="576" w:lineRule="exact"/>
        <w:ind w:firstLine="640" w:firstLineChars="200"/>
        <w:jc w:val="both"/>
        <w:rPr>
          <w:rFonts w:ascii="Times New Roman" w:hAnsi="Times New Roman" w:eastAsia="方正仿宋简体" w:cs="方正仿宋简体"/>
          <w:bCs/>
          <w:sz w:val="32"/>
          <w:szCs w:val="28"/>
          <w:lang w:eastAsia="zh-CN"/>
        </w:rPr>
      </w:pPr>
      <w:r>
        <w:rPr>
          <w:rFonts w:hint="eastAsia" w:ascii="Times New Roman" w:hAnsi="Times New Roman" w:eastAsia="方正仿宋简体" w:cs="方正仿宋简体"/>
          <w:bCs/>
          <w:sz w:val="32"/>
          <w:szCs w:val="28"/>
          <w:lang w:eastAsia="zh-CN"/>
        </w:rPr>
        <w:t>生态文旅产业的技术驱动是：从“过境观光”到“沉浸体验”。</w:t>
      </w:r>
      <w:bookmarkStart w:id="423" w:name="_Hlk214118953"/>
    </w:p>
    <w:p w14:paraId="21A8D1AB">
      <w:pPr>
        <w:spacing w:line="576" w:lineRule="exact"/>
        <w:ind w:firstLine="643" w:firstLineChars="200"/>
        <w:jc w:val="center"/>
        <w:rPr>
          <w:rFonts w:ascii="Times New Roman" w:hAnsi="Times New Roman" w:eastAsia="方正仿宋简体" w:cs="方正仿宋简体"/>
          <w:b/>
          <w:sz w:val="32"/>
          <w:szCs w:val="32"/>
          <w:lang w:eastAsia="zh-CN"/>
        </w:rPr>
      </w:pPr>
      <w:bookmarkStart w:id="424" w:name="OLE_LINK232"/>
      <w:r>
        <w:rPr>
          <w:rFonts w:hint="eastAsia" w:ascii="Times New Roman" w:hAnsi="Times New Roman" w:eastAsia="方正仿宋简体" w:cs="方正仿宋简体"/>
          <w:b/>
          <w:sz w:val="32"/>
          <w:szCs w:val="32"/>
          <w:lang w:eastAsia="zh-CN"/>
        </w:rPr>
        <w:t>那曲市生态文旅产业技术驱动趋势</w:t>
      </w:r>
    </w:p>
    <w:bookmarkEnd w:id="423"/>
    <w:tbl>
      <w:tblPr>
        <w:tblStyle w:val="21"/>
        <w:tblW w:w="0" w:type="auto"/>
        <w:tblCellSpacing w:w="15" w:type="dxa"/>
        <w:tblInd w:w="0" w:type="dxa"/>
        <w:tblLayout w:type="autofit"/>
        <w:tblCellMar>
          <w:top w:w="15" w:type="dxa"/>
          <w:left w:w="15" w:type="dxa"/>
          <w:bottom w:w="15" w:type="dxa"/>
          <w:right w:w="15" w:type="dxa"/>
        </w:tblCellMar>
      </w:tblPr>
      <w:tblGrid>
        <w:gridCol w:w="2421"/>
        <w:gridCol w:w="2081"/>
        <w:gridCol w:w="4277"/>
      </w:tblGrid>
      <w:tr w14:paraId="3D958362">
        <w:tblPrEx>
          <w:tblCellMar>
            <w:top w:w="15" w:type="dxa"/>
            <w:left w:w="15" w:type="dxa"/>
            <w:bottom w:w="15" w:type="dxa"/>
            <w:right w:w="15" w:type="dxa"/>
          </w:tblCellMar>
        </w:tblPrEx>
        <w:trPr>
          <w:trHeight w:val="631" w:hRule="atLeast"/>
          <w:tblHeader/>
          <w:tblCellSpacing w:w="15" w:type="dxa"/>
        </w:trPr>
        <w:tc>
          <w:tcPr>
            <w:tcW w:w="2376" w:type="dxa"/>
            <w:tcBorders>
              <w:top w:val="single" w:color="auto" w:sz="4" w:space="0"/>
              <w:left w:val="single" w:color="auto" w:sz="4" w:space="0"/>
            </w:tcBorders>
            <w:vAlign w:val="center"/>
          </w:tcPr>
          <w:p w14:paraId="64804B3C">
            <w:pPr>
              <w:widowControl/>
              <w:spacing w:line="352"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产业现状与瓶颈</w:t>
            </w:r>
          </w:p>
        </w:tc>
        <w:tc>
          <w:tcPr>
            <w:tcW w:w="2051" w:type="dxa"/>
            <w:tcBorders>
              <w:top w:val="single" w:color="auto" w:sz="4" w:space="0"/>
              <w:left w:val="single" w:color="auto" w:sz="4" w:space="0"/>
              <w:right w:val="single" w:color="auto" w:sz="4" w:space="0"/>
            </w:tcBorders>
            <w:vAlign w:val="center"/>
          </w:tcPr>
          <w:p w14:paraId="28D32CE4">
            <w:pPr>
              <w:widowControl/>
              <w:spacing w:line="352"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技术创新驱动趋势</w:t>
            </w:r>
          </w:p>
        </w:tc>
        <w:tc>
          <w:tcPr>
            <w:tcW w:w="4232" w:type="dxa"/>
            <w:tcBorders>
              <w:top w:val="single" w:color="auto" w:sz="4" w:space="0"/>
              <w:right w:val="single" w:color="auto" w:sz="4" w:space="0"/>
            </w:tcBorders>
            <w:vAlign w:val="center"/>
          </w:tcPr>
          <w:p w14:paraId="486DF67A">
            <w:pPr>
              <w:widowControl/>
              <w:spacing w:line="352"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具体应用案例</w:t>
            </w:r>
          </w:p>
        </w:tc>
      </w:tr>
      <w:tr w14:paraId="1C969C0A">
        <w:tblPrEx>
          <w:tblCellMar>
            <w:top w:w="15" w:type="dxa"/>
            <w:left w:w="15" w:type="dxa"/>
            <w:bottom w:w="15" w:type="dxa"/>
            <w:right w:w="15" w:type="dxa"/>
          </w:tblCellMar>
        </w:tblPrEx>
        <w:trPr>
          <w:trHeight w:val="1385" w:hRule="atLeast"/>
          <w:tblCellSpacing w:w="15" w:type="dxa"/>
        </w:trPr>
        <w:tc>
          <w:tcPr>
            <w:tcW w:w="2376" w:type="dxa"/>
            <w:tcBorders>
              <w:top w:val="single" w:color="auto" w:sz="4" w:space="0"/>
              <w:left w:val="single" w:color="auto" w:sz="4" w:space="0"/>
            </w:tcBorders>
            <w:vAlign w:val="center"/>
          </w:tcPr>
          <w:p w14:paraId="2BDE1102">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体验单一，留客难：主要是观湖看草原，受季节影响大，文化体验深度不够。</w:t>
            </w:r>
          </w:p>
        </w:tc>
        <w:tc>
          <w:tcPr>
            <w:tcW w:w="2051" w:type="dxa"/>
            <w:tcBorders>
              <w:top w:val="single" w:color="auto" w:sz="4" w:space="0"/>
              <w:left w:val="single" w:color="auto" w:sz="4" w:space="0"/>
              <w:right w:val="single" w:color="auto" w:sz="4" w:space="0"/>
            </w:tcBorders>
            <w:vAlign w:val="center"/>
          </w:tcPr>
          <w:p w14:paraId="013F3B5E">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文旅融合与沉浸式体验。</w:t>
            </w:r>
          </w:p>
        </w:tc>
        <w:tc>
          <w:tcPr>
            <w:tcW w:w="4232" w:type="dxa"/>
            <w:tcBorders>
              <w:top w:val="single" w:color="auto" w:sz="4" w:space="0"/>
              <w:right w:val="single" w:color="auto" w:sz="4" w:space="0"/>
            </w:tcBorders>
            <w:vAlign w:val="center"/>
          </w:tcPr>
          <w:p w14:paraId="71D53D1E">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依托古</w:t>
            </w:r>
            <w:r>
              <w:rPr>
                <w:rFonts w:hint="eastAsia" w:ascii="Times New Roman" w:hAnsi="Times New Roman" w:eastAsia="方正仿宋简体" w:cs="方正仿宋简体"/>
                <w:bCs/>
                <w:sz w:val="21"/>
                <w:szCs w:val="21"/>
                <w:lang w:val="en-US" w:eastAsia="zh-CN"/>
              </w:rPr>
              <w:t>羌塘</w:t>
            </w:r>
            <w:r>
              <w:rPr>
                <w:rFonts w:ascii="Times New Roman" w:hAnsi="Times New Roman" w:eastAsia="方正仿宋简体" w:cs="方正仿宋简体"/>
                <w:bCs/>
                <w:sz w:val="21"/>
                <w:szCs w:val="21"/>
                <w:lang w:val="en-US" w:eastAsia="zh-CN"/>
              </w:rPr>
              <w:t>象雄遗址、羌塘草原等点位，部署AR眼镜、手机APP数字化载体，构建历史文化虚拟场景；搭建VR体验场馆，开发羌塘地区线上云游数字化内容。</w:t>
            </w:r>
          </w:p>
        </w:tc>
      </w:tr>
      <w:tr w14:paraId="65F6CEBD">
        <w:tblPrEx>
          <w:tblCellMar>
            <w:top w:w="15" w:type="dxa"/>
            <w:left w:w="15" w:type="dxa"/>
            <w:bottom w:w="15" w:type="dxa"/>
            <w:right w:w="15" w:type="dxa"/>
          </w:tblCellMar>
        </w:tblPrEx>
        <w:trPr>
          <w:trHeight w:val="892" w:hRule="atLeast"/>
          <w:tblCellSpacing w:w="15" w:type="dxa"/>
        </w:trPr>
        <w:tc>
          <w:tcPr>
            <w:tcW w:w="2376" w:type="dxa"/>
            <w:tcBorders>
              <w:top w:val="single" w:color="auto" w:sz="4" w:space="0"/>
              <w:left w:val="single" w:color="auto" w:sz="4" w:space="0"/>
            </w:tcBorders>
            <w:vAlign w:val="center"/>
          </w:tcPr>
          <w:p w14:paraId="58ECFF7A">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冬春淡季是制约那曲市文旅产业持续增长的瓶颈之一</w:t>
            </w:r>
          </w:p>
        </w:tc>
        <w:tc>
          <w:tcPr>
            <w:tcW w:w="2051" w:type="dxa"/>
            <w:tcBorders>
              <w:top w:val="single" w:color="auto" w:sz="4" w:space="0"/>
              <w:left w:val="single" w:color="auto" w:sz="4" w:space="0"/>
              <w:right w:val="single" w:color="auto" w:sz="4" w:space="0"/>
            </w:tcBorders>
            <w:vAlign w:val="center"/>
          </w:tcPr>
          <w:p w14:paraId="1711CEFA">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淡旺季均衡发展，寻求差异化的突破方向。</w:t>
            </w:r>
          </w:p>
        </w:tc>
        <w:tc>
          <w:tcPr>
            <w:tcW w:w="4232" w:type="dxa"/>
            <w:tcBorders>
              <w:top w:val="single" w:color="auto" w:sz="4" w:space="0"/>
              <w:right w:val="single" w:color="auto" w:sz="4" w:space="0"/>
            </w:tcBorders>
            <w:vAlign w:val="center"/>
          </w:tcPr>
          <w:p w14:paraId="213E16A0">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策划温泉康养、民俗体验、雪原摄影、格萨尔研学主题旅游线路，开发冬春季节文旅产品矩阵。</w:t>
            </w:r>
          </w:p>
        </w:tc>
      </w:tr>
      <w:tr w14:paraId="72ABED7B">
        <w:tblPrEx>
          <w:tblCellMar>
            <w:top w:w="15" w:type="dxa"/>
            <w:left w:w="15" w:type="dxa"/>
            <w:bottom w:w="15" w:type="dxa"/>
            <w:right w:w="15" w:type="dxa"/>
          </w:tblCellMar>
        </w:tblPrEx>
        <w:trPr>
          <w:trHeight w:val="1312" w:hRule="atLeast"/>
          <w:tblCellSpacing w:w="15" w:type="dxa"/>
        </w:trPr>
        <w:tc>
          <w:tcPr>
            <w:tcW w:w="2376" w:type="dxa"/>
            <w:tcBorders>
              <w:top w:val="single" w:color="auto" w:sz="4" w:space="0"/>
              <w:left w:val="single" w:color="auto" w:sz="4" w:space="0"/>
              <w:bottom w:val="single" w:color="auto" w:sz="4" w:space="0"/>
            </w:tcBorders>
            <w:vAlign w:val="center"/>
          </w:tcPr>
          <w:p w14:paraId="486627F7">
            <w:pPr>
              <w:widowControl/>
              <w:spacing w:line="270" w:lineRule="exact"/>
              <w:jc w:val="both"/>
              <w:rPr>
                <w:rFonts w:ascii="Times New Roman" w:hAnsi="Times New Roman" w:eastAsia="方正仿宋简体" w:cs="方正仿宋简体"/>
                <w:bCs/>
                <w:sz w:val="21"/>
                <w:szCs w:val="21"/>
                <w:lang w:eastAsia="zh-CN"/>
              </w:rPr>
            </w:pPr>
            <w:bookmarkStart w:id="425" w:name="_Hlk237556585"/>
            <w:r>
              <w:rPr>
                <w:rFonts w:hint="eastAsia" w:ascii="Times New Roman" w:hAnsi="Times New Roman" w:eastAsia="方正仿宋简体" w:cs="方正仿宋简体"/>
                <w:bCs/>
                <w:sz w:val="21"/>
                <w:szCs w:val="21"/>
                <w:lang w:eastAsia="zh-CN"/>
              </w:rPr>
              <w:t>生态脆弱，承载力有限</w:t>
            </w:r>
          </w:p>
        </w:tc>
        <w:tc>
          <w:tcPr>
            <w:tcW w:w="2051" w:type="dxa"/>
            <w:tcBorders>
              <w:top w:val="single" w:color="auto" w:sz="4" w:space="0"/>
              <w:left w:val="single" w:color="auto" w:sz="4" w:space="0"/>
              <w:bottom w:val="single" w:color="auto" w:sz="4" w:space="0"/>
              <w:right w:val="single" w:color="auto" w:sz="4" w:space="0"/>
            </w:tcBorders>
            <w:vAlign w:val="center"/>
          </w:tcPr>
          <w:p w14:paraId="1217F983">
            <w:pPr>
              <w:widowControl/>
              <w:spacing w:line="270" w:lineRule="exact"/>
              <w:jc w:val="both"/>
              <w:rPr>
                <w:rFonts w:ascii="Times New Roman" w:hAnsi="Times New Roman" w:eastAsia="方正仿宋简体" w:cs="方正仿宋简体"/>
                <w:bCs/>
                <w:sz w:val="21"/>
                <w:szCs w:val="21"/>
              </w:rPr>
            </w:pPr>
            <w:r>
              <w:rPr>
                <w:rFonts w:hint="eastAsia" w:ascii="Times New Roman" w:hAnsi="Times New Roman" w:eastAsia="方正仿宋简体" w:cs="方正仿宋简体"/>
                <w:bCs/>
                <w:sz w:val="21"/>
                <w:szCs w:val="21"/>
              </w:rPr>
              <w:t>智慧旅游与低碳管理。</w:t>
            </w:r>
          </w:p>
        </w:tc>
        <w:tc>
          <w:tcPr>
            <w:tcW w:w="4232" w:type="dxa"/>
            <w:tcBorders>
              <w:top w:val="single" w:color="auto" w:sz="4" w:space="0"/>
              <w:bottom w:val="single" w:color="auto" w:sz="4" w:space="0"/>
              <w:right w:val="single" w:color="auto" w:sz="4" w:space="0"/>
            </w:tcBorders>
            <w:vAlign w:val="center"/>
          </w:tcPr>
          <w:p w14:paraId="3CCBD4B5">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搭建文旅智慧管控数字化平台，整合客流实时监测、动态限流、分时入园管理模块；全域景区配套低碳观光交通设备，推广新能源代步设施落地应用。</w:t>
            </w:r>
          </w:p>
        </w:tc>
      </w:tr>
      <w:bookmarkEnd w:id="424"/>
      <w:bookmarkEnd w:id="425"/>
    </w:tbl>
    <w:p w14:paraId="48C27DB2">
      <w:pPr>
        <w:spacing w:line="576" w:lineRule="exact"/>
        <w:ind w:firstLine="643" w:firstLineChars="200"/>
        <w:jc w:val="both"/>
        <w:rPr>
          <w:rFonts w:ascii="Times New Roman" w:hAnsi="Times New Roman" w:eastAsia="方正仿宋简体" w:cs="方正仿宋简体"/>
          <w:bCs/>
          <w:sz w:val="32"/>
          <w:szCs w:val="28"/>
          <w:lang w:eastAsia="zh-CN"/>
        </w:rPr>
      </w:pPr>
      <w:bookmarkStart w:id="426" w:name="OLE_LINK235"/>
      <w:r>
        <w:rPr>
          <w:rFonts w:hint="eastAsia" w:ascii="Times New Roman" w:hAnsi="Times New Roman" w:eastAsia="方正仿宋简体" w:cs="方正仿宋简体"/>
          <w:b/>
          <w:sz w:val="32"/>
          <w:szCs w:val="28"/>
          <w:lang w:eastAsia="zh-CN"/>
        </w:rPr>
        <w:t>驱动效果：</w:t>
      </w:r>
      <w:r>
        <w:rPr>
          <w:rFonts w:ascii="Times New Roman" w:hAnsi="Times New Roman" w:eastAsia="方正仿宋简体" w:cs="方正仿宋简体"/>
          <w:bCs/>
          <w:sz w:val="32"/>
          <w:szCs w:val="28"/>
          <w:lang w:eastAsia="zh-CN"/>
        </w:rPr>
        <w:t>有效延长游客停留时间、提升旅游消费水平，实现高原特色文化资源的创新性传承，依托智慧化管理模式筑牢高原</w:t>
      </w:r>
      <w:r>
        <w:rPr>
          <w:rFonts w:hint="eastAsia" w:ascii="Times New Roman" w:hAnsi="Times New Roman" w:eastAsia="方正仿宋简体" w:cs="方正仿宋简体"/>
          <w:bCs/>
          <w:sz w:val="32"/>
          <w:szCs w:val="28"/>
          <w:lang w:eastAsia="zh-CN"/>
        </w:rPr>
        <w:t>生态保护红线</w:t>
      </w:r>
      <w:r>
        <w:rPr>
          <w:rFonts w:ascii="Times New Roman" w:hAnsi="Times New Roman" w:eastAsia="方正仿宋简体" w:cs="方正仿宋简体"/>
          <w:bCs/>
          <w:sz w:val="32"/>
          <w:szCs w:val="28"/>
          <w:lang w:eastAsia="zh-CN"/>
        </w:rPr>
        <w:t>。依托数字技术、智能硬件、虚实融合、大数据运营四大技术矩阵，从前置引流、业态供给、运营管控、长效增收四个维度构建全链条技术破局方案，兼顾高原高寒环境适配、生态保护与游牧文化特色彰显。</w:t>
      </w:r>
    </w:p>
    <w:bookmarkEnd w:id="426"/>
    <w:p w14:paraId="685CF2CC">
      <w:pPr>
        <w:pStyle w:val="8"/>
        <w:overflowPunct w:val="0"/>
        <w:topLinePunct/>
        <w:autoSpaceDE/>
        <w:autoSpaceDN/>
        <w:spacing w:before="0" w:line="576" w:lineRule="exact"/>
        <w:ind w:left="0" w:firstLine="640" w:firstLineChars="200"/>
        <w:jc w:val="both"/>
        <w:outlineLvl w:val="1"/>
        <w:rPr>
          <w:rFonts w:ascii="Times New Roman" w:hAnsi="Times New Roman" w:eastAsia="方正楷体简体" w:cs="方正楷体简体"/>
          <w:sz w:val="32"/>
          <w:szCs w:val="32"/>
        </w:rPr>
      </w:pPr>
      <w:bookmarkStart w:id="427" w:name="_Toc243241554"/>
      <w:r>
        <w:rPr>
          <w:rFonts w:hint="eastAsia" w:ascii="Times New Roman" w:hAnsi="Times New Roman" w:eastAsia="方正楷体简体" w:cs="方正楷体简体"/>
          <w:sz w:val="32"/>
          <w:szCs w:val="32"/>
        </w:rPr>
        <w:t>（五）绿色矿产业</w:t>
      </w:r>
      <w:bookmarkEnd w:id="427"/>
    </w:p>
    <w:p w14:paraId="50DB73D8">
      <w:pPr>
        <w:spacing w:line="576" w:lineRule="exact"/>
        <w:ind w:firstLine="640" w:firstLineChars="200"/>
        <w:jc w:val="both"/>
        <w:rPr>
          <w:rFonts w:hint="eastAsia" w:ascii="Times New Roman" w:hAnsi="Times New Roman" w:eastAsia="方正仿宋简体" w:cs="方正仿宋简体"/>
          <w:bCs/>
          <w:sz w:val="32"/>
          <w:szCs w:val="28"/>
          <w:lang w:eastAsia="zh-CN"/>
        </w:rPr>
      </w:pPr>
      <w:r>
        <w:rPr>
          <w:rFonts w:hint="eastAsia" w:ascii="Times New Roman" w:hAnsi="Times New Roman" w:eastAsia="方正仿宋简体" w:cs="方正仿宋简体"/>
          <w:bCs/>
          <w:sz w:val="32"/>
          <w:szCs w:val="28"/>
          <w:lang w:eastAsia="zh-CN"/>
        </w:rPr>
        <w:t>坚持矿产开发“四不”原则，推进优势矿产绿色勘查、绿色矿山、智慧矿山建设。那曲市的绿色矿产业正积极拥抱技术创新，以应对高海拔环境的独特挑战，并致力于实现资源开发与生态保护的双赢。</w:t>
      </w:r>
    </w:p>
    <w:p w14:paraId="0DF8095A">
      <w:pPr>
        <w:spacing w:line="576" w:lineRule="exact"/>
        <w:jc w:val="center"/>
        <w:rPr>
          <w:rFonts w:ascii="Times New Roman" w:hAnsi="Times New Roman" w:eastAsia="方正仿宋简体" w:cs="方正仿宋简体"/>
          <w:b/>
          <w:sz w:val="32"/>
          <w:szCs w:val="32"/>
          <w:lang w:eastAsia="zh-CN"/>
        </w:rPr>
      </w:pPr>
      <w:r>
        <w:rPr>
          <w:rFonts w:hint="eastAsia" w:ascii="Times New Roman" w:hAnsi="Times New Roman" w:eastAsia="方正仿宋简体" w:cs="方正仿宋简体"/>
          <w:b/>
          <w:sz w:val="32"/>
          <w:szCs w:val="32"/>
          <w:lang w:eastAsia="zh-CN"/>
        </w:rPr>
        <w:t>那曲市绿色矿产业技术驱动趋势</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7"/>
        <w:gridCol w:w="3369"/>
        <w:gridCol w:w="4119"/>
      </w:tblGrid>
      <w:tr w14:paraId="41182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1348" w:type="dxa"/>
          </w:tcPr>
          <w:p w14:paraId="7F8B7A0A">
            <w:pPr>
              <w:widowControl/>
              <w:spacing w:line="352"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技术方向</w:t>
            </w:r>
          </w:p>
        </w:tc>
        <w:tc>
          <w:tcPr>
            <w:tcW w:w="3371" w:type="dxa"/>
          </w:tcPr>
          <w:p w14:paraId="24D5C241">
            <w:pPr>
              <w:widowControl/>
              <w:spacing w:line="352"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具体技术表现</w:t>
            </w:r>
          </w:p>
        </w:tc>
        <w:tc>
          <w:tcPr>
            <w:tcW w:w="4120" w:type="dxa"/>
          </w:tcPr>
          <w:p w14:paraId="3789EB64">
            <w:pPr>
              <w:widowControl/>
              <w:spacing w:line="352"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具体应用案例</w:t>
            </w:r>
          </w:p>
        </w:tc>
      </w:tr>
      <w:tr w14:paraId="52EA8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5" w:hRule="atLeast"/>
        </w:trPr>
        <w:tc>
          <w:tcPr>
            <w:tcW w:w="1348" w:type="dxa"/>
            <w:vAlign w:val="center"/>
          </w:tcPr>
          <w:p w14:paraId="55F0C47E">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智能化采矿与安全管控</w:t>
            </w:r>
          </w:p>
        </w:tc>
        <w:tc>
          <w:tcPr>
            <w:tcW w:w="3371" w:type="dxa"/>
            <w:vAlign w:val="center"/>
          </w:tcPr>
          <w:p w14:paraId="10AF0BDD">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应用无人驾驶运输车辆、智能调度系统，实现生产过程的自动化、智能化管控。利用5G技术实现远程掘进、无人采矿和实时设备监测与控制。</w:t>
            </w:r>
          </w:p>
        </w:tc>
        <w:tc>
          <w:tcPr>
            <w:tcW w:w="4120" w:type="dxa"/>
            <w:vAlign w:val="center"/>
          </w:tcPr>
          <w:p w14:paraId="2666DAF4">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降低高原极险环境人工作业风险，提高生产效率和调度精度。例如，西藏巨龙铜业通过智能化改造，使整个生产过程实现了自动化、智能化管控。</w:t>
            </w:r>
          </w:p>
        </w:tc>
      </w:tr>
      <w:tr w14:paraId="49B7F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trPr>
        <w:tc>
          <w:tcPr>
            <w:tcW w:w="1348" w:type="dxa"/>
            <w:vAlign w:val="center"/>
          </w:tcPr>
          <w:p w14:paraId="0A93AE1D">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绿色选矿与资源综合利用</w:t>
            </w:r>
          </w:p>
        </w:tc>
        <w:tc>
          <w:tcPr>
            <w:tcW w:w="3371" w:type="dxa"/>
            <w:vAlign w:val="center"/>
          </w:tcPr>
          <w:p w14:paraId="5E8B42FC">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研发应用环保型提铜技术、低品位斑岩型铜矿的选矿方法等。通过技术改造，实现对共伴生贵金属（如钼、银）的综合回收。</w:t>
            </w:r>
          </w:p>
        </w:tc>
        <w:tc>
          <w:tcPr>
            <w:tcW w:w="4120" w:type="dxa"/>
            <w:vAlign w:val="center"/>
          </w:tcPr>
          <w:p w14:paraId="1F959D15">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提升资源利用率，特别是对低品位矿产和共伴生资源的利用，减少资源浪费，增加经济效益。巨龙铜矿二期项目达产后预计可年产1</w:t>
            </w:r>
            <w:r>
              <w:rPr>
                <w:rFonts w:hint="eastAsia" w:ascii="Times New Roman" w:hAnsi="Times New Roman" w:eastAsia="方正仿宋简体" w:cs="方正仿宋简体"/>
                <w:bCs/>
                <w:sz w:val="21"/>
                <w:szCs w:val="21"/>
                <w:lang w:val="en-US" w:eastAsia="zh-CN"/>
              </w:rPr>
              <w:t>.</w:t>
            </w:r>
            <w:r>
              <w:rPr>
                <w:rFonts w:hint="eastAsia" w:ascii="Times New Roman" w:hAnsi="Times New Roman" w:eastAsia="方正仿宋简体" w:cs="方正仿宋简体"/>
                <w:bCs/>
                <w:sz w:val="21"/>
                <w:szCs w:val="21"/>
                <w:lang w:eastAsia="zh-CN"/>
              </w:rPr>
              <w:t>3万吨钼和230吨银。</w:t>
            </w:r>
          </w:p>
        </w:tc>
      </w:tr>
      <w:tr w14:paraId="7CABA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6" w:hRule="atLeast"/>
        </w:trPr>
        <w:tc>
          <w:tcPr>
            <w:tcW w:w="1348" w:type="dxa"/>
            <w:vAlign w:val="center"/>
          </w:tcPr>
          <w:p w14:paraId="31D0F04C">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高原特殊环境适应性技术</w:t>
            </w:r>
          </w:p>
        </w:tc>
        <w:tc>
          <w:tcPr>
            <w:tcW w:w="3371" w:type="dxa"/>
            <w:vAlign w:val="center"/>
          </w:tcPr>
          <w:p w14:paraId="379F57F2">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针对超高海拔（5000米以上）的低温、低压、低氧环境，对球磨机、破碎机等核心设备进行适应性改造，优化动力与散热结构。研发应用“低温固化+分层压实”复合工艺处理冻土和冰积层地基。</w:t>
            </w:r>
          </w:p>
        </w:tc>
        <w:tc>
          <w:tcPr>
            <w:tcW w:w="4120" w:type="dxa"/>
            <w:vAlign w:val="center"/>
          </w:tcPr>
          <w:p w14:paraId="76FDAB90">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攻克极端环境下的施工与设备运行难题，保障项目顺利推进与稳定生产，为超高海拔矿产资源开发提供“中国方案”。</w:t>
            </w:r>
          </w:p>
        </w:tc>
      </w:tr>
      <w:tr w14:paraId="1CACC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5" w:hRule="atLeast"/>
        </w:trPr>
        <w:tc>
          <w:tcPr>
            <w:tcW w:w="1348" w:type="dxa"/>
            <w:vAlign w:val="center"/>
          </w:tcPr>
          <w:p w14:paraId="61074CCD">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生态修复与闭环保护</w:t>
            </w:r>
          </w:p>
        </w:tc>
        <w:tc>
          <w:tcPr>
            <w:tcW w:w="3371" w:type="dxa"/>
            <w:vAlign w:val="center"/>
          </w:tcPr>
          <w:p w14:paraId="701A3B7F">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采用高原特殊植生袋、挂网喷播等技术修复边坡和尾矿库，并种植乡土植物。建设完善的污水处理与固废处理设施，确保废水达标排放、固废综合利用。</w:t>
            </w:r>
          </w:p>
        </w:tc>
        <w:tc>
          <w:tcPr>
            <w:tcW w:w="4120" w:type="dxa"/>
            <w:vAlign w:val="center"/>
          </w:tcPr>
          <w:p w14:paraId="39696DF9">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最大限度降低矿业活动对脆弱生态环境的影响，努力实现开发后的生态恢复甚至优化。</w:t>
            </w:r>
          </w:p>
        </w:tc>
      </w:tr>
      <w:tr w14:paraId="5F185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9" w:hRule="atLeast"/>
        </w:trPr>
        <w:tc>
          <w:tcPr>
            <w:tcW w:w="1348" w:type="dxa"/>
            <w:vAlign w:val="center"/>
          </w:tcPr>
          <w:p w14:paraId="2B4B8698">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清洁能源一体化应用</w:t>
            </w:r>
          </w:p>
        </w:tc>
        <w:tc>
          <w:tcPr>
            <w:tcW w:w="3371" w:type="dxa"/>
            <w:vAlign w:val="center"/>
          </w:tcPr>
          <w:p w14:paraId="0B7732BD">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配套建设大规模光伏电站，为矿区生产提供绿色电力。</w:t>
            </w:r>
          </w:p>
        </w:tc>
        <w:tc>
          <w:tcPr>
            <w:tcW w:w="4120" w:type="dxa"/>
            <w:vAlign w:val="center"/>
          </w:tcPr>
          <w:p w14:paraId="76E23501">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显著降低矿业生产的碳排放强度，实现绿色低碳生产，将西藏丰富的太阳能资源优势转化为产业发展的环保优势。</w:t>
            </w:r>
          </w:p>
        </w:tc>
      </w:tr>
    </w:tbl>
    <w:p w14:paraId="43F41253">
      <w:pPr>
        <w:spacing w:line="576" w:lineRule="exact"/>
        <w:ind w:firstLine="643" w:firstLineChars="200"/>
        <w:jc w:val="both"/>
        <w:rPr>
          <w:rFonts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
          <w:sz w:val="32"/>
          <w:szCs w:val="28"/>
          <w:lang w:eastAsia="zh-CN"/>
        </w:rPr>
        <w:t>驱动效果：</w:t>
      </w:r>
      <w:r>
        <w:rPr>
          <w:rFonts w:ascii="Times New Roman" w:hAnsi="Times New Roman" w:eastAsia="方正仿宋简体" w:cs="方正仿宋简体"/>
          <w:bCs/>
          <w:sz w:val="32"/>
          <w:szCs w:val="28"/>
          <w:lang w:val="en-US" w:eastAsia="zh-CN"/>
        </w:rPr>
        <w:t>技术正驱动那曲的绿色矿产业向智能化、精细化、低碳化迈进。其核心目标是在确保高原生态安全的前提下，通过技术创新攻克极端环境开发难题，高效利用宝贵资源，最终实现经济效益与生态效益的统一。</w:t>
      </w:r>
    </w:p>
    <w:p w14:paraId="056FC157">
      <w:pPr>
        <w:pStyle w:val="8"/>
        <w:overflowPunct w:val="0"/>
        <w:topLinePunct/>
        <w:autoSpaceDE/>
        <w:autoSpaceDN/>
        <w:spacing w:before="0" w:line="576" w:lineRule="exact"/>
        <w:ind w:left="0" w:firstLine="640" w:firstLineChars="200"/>
        <w:jc w:val="both"/>
        <w:outlineLvl w:val="1"/>
        <w:rPr>
          <w:rFonts w:ascii="Times New Roman" w:hAnsi="Times New Roman" w:eastAsia="方正楷体简体" w:cs="方正楷体简体"/>
          <w:sz w:val="32"/>
          <w:szCs w:val="32"/>
        </w:rPr>
      </w:pPr>
      <w:bookmarkStart w:id="428" w:name="_Toc243241555"/>
      <w:r>
        <w:rPr>
          <w:rFonts w:hint="eastAsia" w:ascii="Times New Roman" w:hAnsi="Times New Roman" w:eastAsia="方正楷体简体" w:cs="方正楷体简体"/>
          <w:sz w:val="32"/>
          <w:szCs w:val="32"/>
        </w:rPr>
        <w:t>（六）交通物流产业</w:t>
      </w:r>
      <w:bookmarkEnd w:id="428"/>
    </w:p>
    <w:p w14:paraId="2B58C926">
      <w:pPr>
        <w:spacing w:line="576" w:lineRule="exact"/>
        <w:ind w:firstLine="640" w:firstLineChars="200"/>
        <w:jc w:val="both"/>
        <w:rPr>
          <w:rFonts w:ascii="Times New Roman" w:hAnsi="Times New Roman" w:eastAsia="方正仿宋简体" w:cs="方正仿宋简体"/>
          <w:bCs/>
          <w:sz w:val="32"/>
          <w:szCs w:val="28"/>
          <w:lang w:eastAsia="zh-CN"/>
        </w:rPr>
      </w:pPr>
      <w:r>
        <w:rPr>
          <w:rFonts w:hint="eastAsia" w:ascii="Times New Roman" w:hAnsi="Times New Roman" w:eastAsia="方正仿宋简体" w:cs="方正仿宋简体"/>
          <w:bCs/>
          <w:sz w:val="32"/>
          <w:szCs w:val="28"/>
          <w:lang w:eastAsia="zh-CN"/>
        </w:rPr>
        <w:t>那曲市正积极拥抱技术，推动交通物流产业向智能化、绿色化转型升级，以更好地服务地区经济发展。</w:t>
      </w:r>
    </w:p>
    <w:p w14:paraId="08298688">
      <w:pPr>
        <w:spacing w:line="576" w:lineRule="exact"/>
        <w:jc w:val="center"/>
        <w:rPr>
          <w:rFonts w:ascii="Times New Roman" w:hAnsi="Times New Roman" w:eastAsia="方正仿宋简体" w:cs="方正仿宋简体"/>
          <w:b/>
          <w:sz w:val="32"/>
          <w:szCs w:val="32"/>
          <w:lang w:eastAsia="zh-CN"/>
        </w:rPr>
      </w:pPr>
      <w:r>
        <w:rPr>
          <w:rFonts w:hint="eastAsia" w:ascii="Times New Roman" w:hAnsi="Times New Roman" w:eastAsia="方正仿宋简体" w:cs="方正仿宋简体"/>
          <w:b/>
          <w:sz w:val="32"/>
          <w:szCs w:val="32"/>
          <w:lang w:eastAsia="zh-CN"/>
        </w:rPr>
        <w:t>那曲市交通物流产业技术驱动趋势</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0"/>
        <w:gridCol w:w="3188"/>
        <w:gridCol w:w="3747"/>
      </w:tblGrid>
      <w:tr w14:paraId="63C43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vAlign w:val="center"/>
          </w:tcPr>
          <w:p w14:paraId="3C1ACD13">
            <w:pPr>
              <w:widowControl/>
              <w:spacing w:line="352"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技术驱动方向</w:t>
            </w:r>
          </w:p>
        </w:tc>
        <w:tc>
          <w:tcPr>
            <w:tcW w:w="3260" w:type="dxa"/>
            <w:vAlign w:val="center"/>
          </w:tcPr>
          <w:p w14:paraId="6B3A182F">
            <w:pPr>
              <w:widowControl/>
              <w:spacing w:line="352"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具体技术表现</w:t>
            </w:r>
          </w:p>
        </w:tc>
        <w:tc>
          <w:tcPr>
            <w:tcW w:w="3850" w:type="dxa"/>
            <w:vAlign w:val="center"/>
          </w:tcPr>
          <w:p w14:paraId="2EBEAB73">
            <w:pPr>
              <w:widowControl/>
              <w:spacing w:line="352" w:lineRule="exact"/>
              <w:jc w:val="center"/>
              <w:rPr>
                <w:rFonts w:ascii="Times New Roman" w:hAnsi="Times New Roman" w:eastAsia="方正仿宋简体" w:cs="方正仿宋简体"/>
                <w:b/>
                <w:sz w:val="24"/>
                <w:szCs w:val="24"/>
                <w:lang w:eastAsia="zh-CN"/>
              </w:rPr>
            </w:pPr>
            <w:r>
              <w:rPr>
                <w:rFonts w:ascii="Times New Roman" w:hAnsi="Times New Roman" w:eastAsia="方正仿宋简体" w:cs="方正仿宋简体"/>
                <w:b/>
                <w:sz w:val="24"/>
                <w:szCs w:val="24"/>
                <w:lang w:eastAsia="zh-CN"/>
              </w:rPr>
              <w:t>预计效益</w:t>
            </w:r>
          </w:p>
        </w:tc>
      </w:tr>
      <w:tr w14:paraId="143D7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vAlign w:val="center"/>
          </w:tcPr>
          <w:p w14:paraId="794BA142">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运营模式创新与资源整合</w:t>
            </w:r>
          </w:p>
        </w:tc>
        <w:tc>
          <w:tcPr>
            <w:tcW w:w="3260" w:type="dxa"/>
            <w:vAlign w:val="center"/>
          </w:tcPr>
          <w:p w14:paraId="65764D65">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积极探索“邮快合作”与“交邮融合”等模式，旨在整合邮政快递、交通运输等分散资源，构建县、乡、村级寄递物流体系。</w:t>
            </w:r>
          </w:p>
        </w:tc>
        <w:tc>
          <w:tcPr>
            <w:tcW w:w="3850" w:type="dxa"/>
            <w:vAlign w:val="center"/>
          </w:tcPr>
          <w:p w14:paraId="0684159B">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打通高原物流“最后一公里”，畅通“工业品下乡、农产品进城”双向渠道，直接支持乡村振兴。</w:t>
            </w:r>
          </w:p>
        </w:tc>
      </w:tr>
      <w:tr w14:paraId="3C8DC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vAlign w:val="center"/>
          </w:tcPr>
          <w:p w14:paraId="15E6C5DD">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物流信息化与智能化</w:t>
            </w:r>
          </w:p>
        </w:tc>
        <w:tc>
          <w:tcPr>
            <w:tcW w:w="3260" w:type="dxa"/>
            <w:vAlign w:val="center"/>
          </w:tcPr>
          <w:p w14:paraId="51415E0A">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那曲物流中心信息系统整合了客户服务、物流调度、货物追踪、仓储管理、公路配送等多个子系统，并引入物联网（IoT）、RFID标签、GPS定位等技术。</w:t>
            </w:r>
          </w:p>
        </w:tc>
        <w:tc>
          <w:tcPr>
            <w:tcW w:w="3850" w:type="dxa"/>
            <w:vAlign w:val="center"/>
          </w:tcPr>
          <w:p w14:paraId="53C18CA9">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实现对铁路到达、仓储、公路配送等全流程的一体化管理和实时监控，提升物流运作的透明度、调度效率和准确性。</w:t>
            </w:r>
          </w:p>
          <w:p w14:paraId="433DFFDE">
            <w:pPr>
              <w:widowControl/>
              <w:spacing w:line="270" w:lineRule="exact"/>
              <w:jc w:val="both"/>
              <w:rPr>
                <w:rFonts w:ascii="Times New Roman" w:hAnsi="Times New Roman" w:eastAsia="方正仿宋简体" w:cs="方正仿宋简体"/>
                <w:bCs/>
                <w:sz w:val="21"/>
                <w:szCs w:val="21"/>
                <w:lang w:eastAsia="zh-CN"/>
              </w:rPr>
            </w:pPr>
          </w:p>
        </w:tc>
      </w:tr>
      <w:tr w14:paraId="556BE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vAlign w:val="center"/>
          </w:tcPr>
          <w:p w14:paraId="25BD64A7">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绿色低碳技术应用</w:t>
            </w:r>
          </w:p>
        </w:tc>
        <w:tc>
          <w:tcPr>
            <w:tcW w:w="3260" w:type="dxa"/>
            <w:vAlign w:val="center"/>
          </w:tcPr>
          <w:p w14:paraId="6DCB206C">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在城市交通末端，推广纯电动公交车和共享电单车。在货运领域，物流企业试点应用新能源电动货车进行城市短途配送，并对长途车辆进行节能改造。</w:t>
            </w:r>
          </w:p>
        </w:tc>
        <w:tc>
          <w:tcPr>
            <w:tcW w:w="3850" w:type="dxa"/>
            <w:vAlign w:val="center"/>
          </w:tcPr>
          <w:p w14:paraId="24A7D38F">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减少城市内部的碳排放和噪音污染，构建绿色低碳出行体系。</w:t>
            </w:r>
          </w:p>
        </w:tc>
      </w:tr>
      <w:tr w14:paraId="12674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3" w:hRule="atLeast"/>
        </w:trPr>
        <w:tc>
          <w:tcPr>
            <w:tcW w:w="1951" w:type="dxa"/>
            <w:vAlign w:val="center"/>
          </w:tcPr>
          <w:p w14:paraId="27729B8A">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智能化运营与安全保障</w:t>
            </w:r>
          </w:p>
        </w:tc>
        <w:tc>
          <w:tcPr>
            <w:tcW w:w="3260" w:type="dxa"/>
            <w:vAlign w:val="center"/>
          </w:tcPr>
          <w:p w14:paraId="72C5D7B8">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在物流中心内应用视频监控系统，并与货车称重、超偏载分析系统联动，对货运作业全过程进行安全监控和预警。</w:t>
            </w:r>
          </w:p>
        </w:tc>
        <w:tc>
          <w:tcPr>
            <w:tcW w:w="3850" w:type="dxa"/>
            <w:vAlign w:val="center"/>
          </w:tcPr>
          <w:p w14:paraId="2AF19ED6">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提升货物处理环节的安全性和规范性，能够对异常情况（如超载）进行及时分析和预警，保障物流运营安全。</w:t>
            </w:r>
          </w:p>
        </w:tc>
      </w:tr>
      <w:tr w14:paraId="09FBD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vAlign w:val="center"/>
          </w:tcPr>
          <w:p w14:paraId="2033187E">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高原特殊环境适应性技术</w:t>
            </w:r>
          </w:p>
        </w:tc>
        <w:tc>
          <w:tcPr>
            <w:tcW w:w="3260" w:type="dxa"/>
            <w:vAlign w:val="center"/>
          </w:tcPr>
          <w:p w14:paraId="633F68AC">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在基础设施规划和建设时，充分考虑高海拔地区的特殊环境，例如仓储设施设计注重保温和抗震抗风，运输路线规划结合天气预报以规避雪灾等风险。</w:t>
            </w:r>
          </w:p>
        </w:tc>
        <w:tc>
          <w:tcPr>
            <w:tcW w:w="3850" w:type="dxa"/>
            <w:vAlign w:val="center"/>
          </w:tcPr>
          <w:p w14:paraId="129F7297">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增强物流系统在恶劣自然条件下的稳定性和可靠性，确保货物安全存储和运输路线的韧性。</w:t>
            </w:r>
          </w:p>
        </w:tc>
      </w:tr>
    </w:tbl>
    <w:p w14:paraId="1D9E6811">
      <w:pPr>
        <w:spacing w:line="576" w:lineRule="exact"/>
        <w:ind w:firstLine="643" w:firstLineChars="200"/>
        <w:jc w:val="both"/>
        <w:rPr>
          <w:rFonts w:ascii="Times New Roman" w:hAnsi="Times New Roman" w:eastAsia="方正仿宋简体" w:cs="方正仿宋简体"/>
          <w:bCs/>
          <w:sz w:val="32"/>
          <w:szCs w:val="28"/>
          <w:lang w:eastAsia="zh-CN"/>
        </w:rPr>
      </w:pPr>
      <w:r>
        <w:rPr>
          <w:rFonts w:hint="eastAsia" w:ascii="Times New Roman" w:hAnsi="Times New Roman" w:eastAsia="方正仿宋简体" w:cs="方正仿宋简体"/>
          <w:b/>
          <w:sz w:val="32"/>
          <w:szCs w:val="28"/>
          <w:lang w:eastAsia="zh-CN"/>
        </w:rPr>
        <w:t>驱动效果：</w:t>
      </w:r>
      <w:r>
        <w:rPr>
          <w:rFonts w:ascii="Times New Roman" w:hAnsi="Times New Roman" w:eastAsia="方正仿宋简体" w:cs="方正仿宋简体"/>
          <w:bCs/>
          <w:sz w:val="32"/>
          <w:szCs w:val="28"/>
          <w:lang w:eastAsia="zh-CN"/>
        </w:rPr>
        <w:t>总的来看，技术正在驱动那曲市的交通物流产业变得更加智能高效、绿色环保且坚韧可靠。这些趋势的核心目标是构建一个与现代经济体系相匹配的现代化物流网络，从而有力支撑那曲市的经济社会发展。</w:t>
      </w:r>
    </w:p>
    <w:p w14:paraId="610B0900">
      <w:pPr>
        <w:pStyle w:val="8"/>
        <w:overflowPunct w:val="0"/>
        <w:topLinePunct/>
        <w:autoSpaceDE/>
        <w:autoSpaceDN/>
        <w:spacing w:before="0" w:line="576" w:lineRule="exact"/>
        <w:ind w:left="0" w:firstLine="640" w:firstLineChars="200"/>
        <w:jc w:val="both"/>
        <w:outlineLvl w:val="1"/>
        <w:rPr>
          <w:rFonts w:ascii="Times New Roman" w:hAnsi="Times New Roman" w:eastAsia="方正楷体简体" w:cs="方正楷体简体"/>
          <w:sz w:val="32"/>
          <w:szCs w:val="32"/>
        </w:rPr>
      </w:pPr>
      <w:bookmarkStart w:id="429" w:name="_Toc243241556"/>
      <w:r>
        <w:rPr>
          <w:rFonts w:hint="eastAsia" w:ascii="Times New Roman" w:hAnsi="Times New Roman" w:eastAsia="方正楷体简体" w:cs="方正楷体简体"/>
          <w:sz w:val="32"/>
          <w:szCs w:val="32"/>
        </w:rPr>
        <w:t>（七）民族手工业</w:t>
      </w:r>
      <w:bookmarkEnd w:id="429"/>
    </w:p>
    <w:p w14:paraId="7F652102">
      <w:pPr>
        <w:spacing w:line="576" w:lineRule="exact"/>
        <w:ind w:firstLine="640" w:firstLineChars="200"/>
        <w:jc w:val="both"/>
        <w:rPr>
          <w:rFonts w:ascii="Times New Roman" w:hAnsi="Times New Roman" w:eastAsia="方正仿宋简体" w:cs="方正仿宋简体"/>
          <w:bCs/>
          <w:sz w:val="32"/>
          <w:szCs w:val="28"/>
          <w:lang w:eastAsia="zh-CN"/>
        </w:rPr>
      </w:pPr>
      <w:r>
        <w:rPr>
          <w:rFonts w:hint="eastAsia" w:ascii="Times New Roman" w:hAnsi="Times New Roman" w:eastAsia="方正仿宋简体" w:cs="方正仿宋简体"/>
          <w:bCs/>
          <w:sz w:val="32"/>
          <w:szCs w:val="28"/>
          <w:lang w:eastAsia="zh-CN"/>
        </w:rPr>
        <w:t>那曲市的民族手工业正积极拥抱现代技术，在保留传统特色的同时，在生产效率、产品创新和市场拓展等方面展现出新的活力。</w:t>
      </w:r>
    </w:p>
    <w:p w14:paraId="65B04C06">
      <w:pPr>
        <w:spacing w:line="576" w:lineRule="exact"/>
        <w:jc w:val="center"/>
        <w:rPr>
          <w:rFonts w:ascii="Times New Roman" w:hAnsi="Times New Roman" w:eastAsia="方正仿宋简体" w:cs="方正仿宋简体"/>
          <w:bCs/>
          <w:sz w:val="32"/>
          <w:szCs w:val="28"/>
        </w:rPr>
      </w:pPr>
      <w:bookmarkStart w:id="430" w:name="OLE_LINK236"/>
      <w:r>
        <w:rPr>
          <w:rFonts w:hint="eastAsia" w:ascii="Times New Roman" w:hAnsi="Times New Roman" w:eastAsia="方正仿宋简体" w:cs="方正仿宋简体"/>
          <w:b/>
          <w:sz w:val="32"/>
          <w:szCs w:val="32"/>
          <w:lang w:eastAsia="zh-CN"/>
        </w:rPr>
        <w:t>那曲市民族手工业技术驱动趋势</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51"/>
        <w:gridCol w:w="3042"/>
        <w:gridCol w:w="3742"/>
      </w:tblGrid>
      <w:tr w14:paraId="54A34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Pr>
          <w:p w14:paraId="37617D96">
            <w:pPr>
              <w:widowControl/>
              <w:spacing w:line="352" w:lineRule="exact"/>
              <w:jc w:val="center"/>
              <w:rPr>
                <w:rFonts w:ascii="Times New Roman" w:hAnsi="Times New Roman" w:eastAsia="方正仿宋简体" w:cs="方正仿宋简体"/>
                <w:b/>
                <w:sz w:val="24"/>
                <w:szCs w:val="24"/>
                <w:lang w:eastAsia="zh-CN"/>
              </w:rPr>
            </w:pPr>
            <w:bookmarkStart w:id="431" w:name="OLE_LINK239"/>
            <w:r>
              <w:rPr>
                <w:rFonts w:hint="eastAsia" w:ascii="Times New Roman" w:hAnsi="Times New Roman" w:eastAsia="方正仿宋简体" w:cs="方正仿宋简体"/>
                <w:b/>
                <w:sz w:val="24"/>
                <w:szCs w:val="24"/>
                <w:lang w:eastAsia="zh-CN"/>
              </w:rPr>
              <w:t>技术驱动方向</w:t>
            </w:r>
          </w:p>
        </w:tc>
        <w:tc>
          <w:tcPr>
            <w:tcW w:w="3118" w:type="dxa"/>
          </w:tcPr>
          <w:p w14:paraId="321BC38D">
            <w:pPr>
              <w:widowControl/>
              <w:spacing w:line="352"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具体技术应用与表现</w:t>
            </w:r>
          </w:p>
        </w:tc>
        <w:tc>
          <w:tcPr>
            <w:tcW w:w="3850" w:type="dxa"/>
          </w:tcPr>
          <w:p w14:paraId="6E29CCD0">
            <w:pPr>
              <w:widowControl/>
              <w:spacing w:line="352"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具体应用案例</w:t>
            </w:r>
          </w:p>
        </w:tc>
      </w:tr>
      <w:tr w14:paraId="1B40E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vAlign w:val="center"/>
          </w:tcPr>
          <w:p w14:paraId="176F5718">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智能化生产与数字化转型</w:t>
            </w:r>
          </w:p>
        </w:tc>
        <w:tc>
          <w:tcPr>
            <w:tcW w:w="3118" w:type="dxa"/>
            <w:vAlign w:val="center"/>
          </w:tcPr>
          <w:p w14:paraId="256CE7B9">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引入5G数字链、悬吊生产线和智能化设备，建设智慧工厂。应用ERP系统实现从原料入库到成品出库的全流程数字化管理。</w:t>
            </w:r>
          </w:p>
        </w:tc>
        <w:tc>
          <w:tcPr>
            <w:tcW w:w="3850" w:type="dxa"/>
            <w:vAlign w:val="center"/>
          </w:tcPr>
          <w:p w14:paraId="5E0259EE">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val="en-US" w:eastAsia="zh-CN"/>
              </w:rPr>
              <w:t>在手工艺品服装生产环节落地智能化生产线，优化生产工序流程；依托ERP系统完成库存数据实时统计、生产流程数字化调度，推行小批量、多批次柔性生产模式。</w:t>
            </w:r>
          </w:p>
        </w:tc>
      </w:tr>
      <w:tr w14:paraId="21D97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vAlign w:val="center"/>
          </w:tcPr>
          <w:p w14:paraId="23390100">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营销与渠道创新（“互联网+”）</w:t>
            </w:r>
          </w:p>
        </w:tc>
        <w:tc>
          <w:tcPr>
            <w:tcW w:w="3118" w:type="dxa"/>
            <w:vAlign w:val="center"/>
          </w:tcPr>
          <w:p w14:paraId="5CE8101A">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利用抖音直播、电商平台等进行线上展销。合作物流公司，打通</w:t>
            </w:r>
            <w:bookmarkStart w:id="432" w:name="OLE_LINK22"/>
            <w:r>
              <w:rPr>
                <w:rFonts w:hint="eastAsia" w:ascii="Times New Roman" w:hAnsi="Times New Roman" w:eastAsia="方正仿宋简体" w:cs="方正仿宋简体"/>
                <w:bCs/>
                <w:sz w:val="21"/>
                <w:szCs w:val="21"/>
                <w:lang w:eastAsia="zh-CN"/>
              </w:rPr>
              <w:t>农村电商</w:t>
            </w:r>
            <w:bookmarkEnd w:id="432"/>
            <w:r>
              <w:rPr>
                <w:rFonts w:hint="eastAsia" w:ascii="Times New Roman" w:hAnsi="Times New Roman" w:eastAsia="方正仿宋简体" w:cs="方正仿宋简体"/>
                <w:bCs/>
                <w:sz w:val="21"/>
                <w:szCs w:val="21"/>
                <w:lang w:eastAsia="zh-CN"/>
              </w:rPr>
              <w:t>“最后一公里”。</w:t>
            </w:r>
          </w:p>
        </w:tc>
        <w:tc>
          <w:tcPr>
            <w:tcW w:w="3850" w:type="dxa"/>
            <w:vAlign w:val="center"/>
          </w:tcPr>
          <w:p w14:paraId="4DBE8AA3">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val="en-US" w:eastAsia="zh-CN"/>
              </w:rPr>
              <w:t>色尼区尼玛乡文成农牧民综合经济合作社开展线上直播带货营销；本地乡村合作社依托电商、直播平台，推广藏式服饰、手工编织饰品、藏艺文创等民族手工艺品，开展线上市场化销售。</w:t>
            </w:r>
          </w:p>
        </w:tc>
      </w:tr>
      <w:tr w14:paraId="2BDA0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0" w:hRule="atLeast"/>
        </w:trPr>
        <w:tc>
          <w:tcPr>
            <w:tcW w:w="2093" w:type="dxa"/>
            <w:vAlign w:val="center"/>
          </w:tcPr>
          <w:p w14:paraId="2FA54CF8">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产品研发与材料创新</w:t>
            </w:r>
          </w:p>
        </w:tc>
        <w:tc>
          <w:tcPr>
            <w:tcW w:w="3118" w:type="dxa"/>
            <w:vAlign w:val="center"/>
          </w:tcPr>
          <w:p w14:paraId="7386A374">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聚焦那曲本土非遗手工业品类，开展藏式编织、皮具制作、藏香工艺、传统制陶等技艺改良创新，优化原材料甄选、预处理及成型加工工序；引入现代设计工艺与轻量化制作技法，迭代传统手工生产流程，推进传统手工业技艺标准化、精细化改良。</w:t>
            </w:r>
          </w:p>
        </w:tc>
        <w:tc>
          <w:tcPr>
            <w:tcW w:w="3850" w:type="dxa"/>
            <w:vAlign w:val="center"/>
          </w:tcPr>
          <w:p w14:paraId="0F397F6C">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val="en-US" w:eastAsia="zh-CN"/>
              </w:rPr>
              <w:t>针对藏式编织、皮具、藏香、传统制陶等本土手工业品类，优化原料甄选与加工工艺，改良老旧手工制作流程；结合现代审美迭代产品样式，规范手工制作工序，打造标准化非遗手工艺品生产流程。</w:t>
            </w:r>
          </w:p>
        </w:tc>
      </w:tr>
      <w:tr w14:paraId="0085F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0" w:hRule="atLeast"/>
        </w:trPr>
        <w:tc>
          <w:tcPr>
            <w:tcW w:w="2093" w:type="dxa"/>
            <w:vAlign w:val="center"/>
          </w:tcPr>
          <w:p w14:paraId="65C3ACAB">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产业集聚与基础设施升级</w:t>
            </w:r>
          </w:p>
        </w:tc>
        <w:tc>
          <w:tcPr>
            <w:tcW w:w="3118" w:type="dxa"/>
            <w:vAlign w:val="center"/>
          </w:tcPr>
          <w:p w14:paraId="1EC3FE0E">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在</w:t>
            </w:r>
            <w:bookmarkStart w:id="433" w:name="OLE_LINK237"/>
            <w:r>
              <w:rPr>
                <w:rFonts w:hint="eastAsia" w:ascii="Times New Roman" w:hAnsi="Times New Roman" w:eastAsia="方正仿宋简体" w:cs="方正仿宋简体"/>
                <w:bCs/>
                <w:sz w:val="21"/>
                <w:szCs w:val="21"/>
                <w:lang w:eastAsia="zh-CN"/>
              </w:rPr>
              <w:t>莫瓦塘工业园</w:t>
            </w:r>
            <w:bookmarkEnd w:id="433"/>
            <w:r>
              <w:rPr>
                <w:rFonts w:hint="eastAsia" w:ascii="Times New Roman" w:hAnsi="Times New Roman" w:eastAsia="方正仿宋简体" w:cs="方正仿宋简体"/>
                <w:bCs/>
                <w:sz w:val="21"/>
                <w:szCs w:val="21"/>
                <w:lang w:eastAsia="zh-CN"/>
              </w:rPr>
              <w:t>等园区内，集聚产业链上下游企业，并配套建设冷链物流设施。</w:t>
            </w:r>
          </w:p>
        </w:tc>
        <w:tc>
          <w:tcPr>
            <w:tcW w:w="3850" w:type="dxa"/>
            <w:vAlign w:val="center"/>
          </w:tcPr>
          <w:p w14:paraId="5FF62212">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val="en-US" w:eastAsia="zh-CN"/>
              </w:rPr>
              <w:t>以工业园区为载体集聚手工业生产、加工、销售各类企业，构建集群化发展格局；落地园区冷链物流配套设施，搭建特色手工艺品、农牧产品专业化流通硬件体系。</w:t>
            </w:r>
          </w:p>
        </w:tc>
      </w:tr>
      <w:tr w14:paraId="24163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2" w:hRule="atLeast"/>
        </w:trPr>
        <w:tc>
          <w:tcPr>
            <w:tcW w:w="2093" w:type="dxa"/>
            <w:vAlign w:val="center"/>
          </w:tcPr>
          <w:p w14:paraId="2E1D0F4E">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人才培养与技能传承</w:t>
            </w:r>
          </w:p>
        </w:tc>
        <w:tc>
          <w:tcPr>
            <w:tcW w:w="3118" w:type="dxa"/>
            <w:vAlign w:val="center"/>
          </w:tcPr>
          <w:p w14:paraId="2BE0F263">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组织非遗传承人培训，提升专业技能与现代管理知识。企业开展岗前技能培训，帮助农牧民转型为产业工人。</w:t>
            </w:r>
          </w:p>
        </w:tc>
        <w:tc>
          <w:tcPr>
            <w:tcW w:w="3850" w:type="dxa"/>
            <w:vAlign w:val="center"/>
          </w:tcPr>
          <w:p w14:paraId="6FBF9724">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val="en-US" w:eastAsia="zh-CN"/>
              </w:rPr>
              <w:t>西藏长荣娜秀集团有限公司常态化开展产业工人技能培训，吸纳本地农牧民、高校毕业生就业；全市常态化组织非遗技艺专项培训，累计开展多场次培训、覆盖数百人次非遗从业者。</w:t>
            </w:r>
          </w:p>
        </w:tc>
      </w:tr>
      <w:bookmarkEnd w:id="430"/>
      <w:bookmarkEnd w:id="431"/>
    </w:tbl>
    <w:p w14:paraId="03BFB69D">
      <w:pPr>
        <w:spacing w:line="576" w:lineRule="exact"/>
        <w:ind w:firstLine="643" w:firstLineChars="200"/>
        <w:jc w:val="both"/>
        <w:rPr>
          <w:rFonts w:ascii="Times New Roman" w:hAnsi="Times New Roman" w:eastAsia="方正仿宋简体" w:cs="方正仿宋简体"/>
          <w:bCs/>
          <w:sz w:val="32"/>
          <w:szCs w:val="28"/>
          <w:lang w:eastAsia="zh-CN"/>
        </w:rPr>
      </w:pPr>
      <w:r>
        <w:rPr>
          <w:rFonts w:hint="eastAsia" w:ascii="Times New Roman" w:hAnsi="Times New Roman" w:eastAsia="方正仿宋简体" w:cs="方正仿宋简体"/>
          <w:b/>
          <w:sz w:val="32"/>
          <w:szCs w:val="28"/>
          <w:lang w:eastAsia="zh-CN"/>
        </w:rPr>
        <w:t>驱动效果：</w:t>
      </w:r>
      <w:r>
        <w:rPr>
          <w:rFonts w:hint="eastAsia" w:ascii="Times New Roman" w:hAnsi="Times New Roman" w:eastAsia="方正仿宋简体" w:cs="方正仿宋简体"/>
          <w:bCs/>
          <w:sz w:val="32"/>
          <w:szCs w:val="28"/>
          <w:lang w:eastAsia="zh-CN"/>
        </w:rPr>
        <w:t>从“制造”到“智造”、“产品”到“商品”、“区域”到“全域”、“个体”到“体系”，这些技术趋势并非孤立存在，而是相互关联，共同构成那曲民族手工业发展的新引擎。</w:t>
      </w:r>
    </w:p>
    <w:p w14:paraId="6CCD5D3B">
      <w:pPr>
        <w:pStyle w:val="8"/>
        <w:overflowPunct w:val="0"/>
        <w:topLinePunct/>
        <w:autoSpaceDE/>
        <w:autoSpaceDN/>
        <w:spacing w:before="0" w:line="576" w:lineRule="exact"/>
        <w:ind w:left="0" w:firstLine="640" w:firstLineChars="200"/>
        <w:jc w:val="both"/>
        <w:outlineLvl w:val="1"/>
        <w:rPr>
          <w:rFonts w:ascii="Times New Roman" w:hAnsi="Times New Roman" w:eastAsia="方正楷体简体" w:cs="方正楷体简体"/>
          <w:sz w:val="32"/>
          <w:szCs w:val="32"/>
        </w:rPr>
      </w:pPr>
      <w:bookmarkStart w:id="434" w:name="_Toc243241557"/>
      <w:bookmarkStart w:id="435" w:name="OLE_LINK91"/>
      <w:bookmarkStart w:id="436" w:name="OLE_LINK238"/>
      <w:r>
        <w:rPr>
          <w:rFonts w:hint="eastAsia" w:ascii="Times New Roman" w:hAnsi="Times New Roman" w:eastAsia="方正楷体简体" w:cs="方正楷体简体"/>
          <w:sz w:val="32"/>
          <w:szCs w:val="32"/>
        </w:rPr>
        <w:t>（八）高原特色种植业</w:t>
      </w:r>
      <w:bookmarkEnd w:id="434"/>
    </w:p>
    <w:p w14:paraId="1978D1EB">
      <w:pPr>
        <w:spacing w:line="576" w:lineRule="exact"/>
        <w:ind w:firstLine="640" w:firstLineChars="200"/>
        <w:jc w:val="both"/>
        <w:rPr>
          <w:rFonts w:ascii="Times New Roman" w:hAnsi="Times New Roman" w:eastAsia="方正仿宋简体" w:cs="方正仿宋简体"/>
          <w:bCs/>
          <w:sz w:val="32"/>
          <w:szCs w:val="28"/>
          <w:lang w:val="en-US" w:eastAsia="zh-CN"/>
        </w:rPr>
      </w:pPr>
      <w:r>
        <w:rPr>
          <w:rFonts w:ascii="Times New Roman" w:hAnsi="Times New Roman" w:eastAsia="方正仿宋简体" w:cs="方正仿宋简体"/>
          <w:bCs/>
          <w:sz w:val="32"/>
          <w:szCs w:val="28"/>
          <w:lang w:val="en-US" w:eastAsia="zh-CN"/>
        </w:rPr>
        <w:t>那曲市立足高海拔特色资源禀赋，聚焦藏药材、高原经济作物等特色种植业，产业发展逐步由传统野外掠夺式采集、粗放式种植，向人工驯化</w:t>
      </w:r>
      <w:r>
        <w:rPr>
          <w:rFonts w:ascii="Times New Roman" w:hAnsi="Times New Roman" w:eastAsia="方正仿宋简体" w:cs="方正仿宋简体"/>
          <w:bCs/>
          <w:sz w:val="32"/>
          <w:szCs w:val="28"/>
          <w:lang w:eastAsia="zh-CN"/>
        </w:rPr>
        <w:t>培育</w:t>
      </w:r>
      <w:r>
        <w:rPr>
          <w:rFonts w:ascii="Times New Roman" w:hAnsi="Times New Roman" w:eastAsia="方正仿宋简体" w:cs="方正仿宋简体"/>
          <w:bCs/>
          <w:sz w:val="32"/>
          <w:szCs w:val="28"/>
          <w:lang w:val="en-US" w:eastAsia="zh-CN"/>
        </w:rPr>
        <w:t>、标准化种植、科学化管护的可持续模式转型。依托高原种植技术攻关与现代农业设备应用，破解高海拔种植短板，推动特色种植业规范化、集约化、品质化发展，整体技术驱动趋势如下表所示。</w:t>
      </w:r>
      <w:bookmarkEnd w:id="435"/>
    </w:p>
    <w:p w14:paraId="4B19EACE">
      <w:pPr>
        <w:spacing w:line="576" w:lineRule="exact"/>
        <w:jc w:val="center"/>
        <w:rPr>
          <w:rFonts w:ascii="Times New Roman" w:hAnsi="Times New Roman" w:eastAsia="方正仿宋简体" w:cs="方正仿宋简体"/>
          <w:b/>
          <w:sz w:val="32"/>
          <w:szCs w:val="32"/>
          <w:lang w:eastAsia="zh-CN"/>
        </w:rPr>
      </w:pPr>
      <w:r>
        <w:rPr>
          <w:rFonts w:hint="eastAsia" w:ascii="Times New Roman" w:hAnsi="Times New Roman" w:eastAsia="方正仿宋简体" w:cs="方正仿宋简体"/>
          <w:b/>
          <w:sz w:val="32"/>
          <w:szCs w:val="32"/>
          <w:lang w:eastAsia="zh-CN"/>
        </w:rPr>
        <w:t>那曲市高原特色种植业技术驱动趋势</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39"/>
        <w:gridCol w:w="1546"/>
        <w:gridCol w:w="3750"/>
      </w:tblGrid>
      <w:tr w14:paraId="22DAA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39" w:type="dxa"/>
            <w:tcBorders>
              <w:top w:val="single" w:color="auto" w:sz="4" w:space="0"/>
              <w:left w:val="single" w:color="auto" w:sz="4" w:space="0"/>
              <w:bottom w:val="single" w:color="auto" w:sz="4" w:space="0"/>
              <w:right w:val="single" w:color="auto" w:sz="4" w:space="0"/>
            </w:tcBorders>
          </w:tcPr>
          <w:p w14:paraId="3C51B0C9">
            <w:pPr>
              <w:widowControl/>
              <w:spacing w:line="352"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技术驱动方向</w:t>
            </w:r>
          </w:p>
        </w:tc>
        <w:tc>
          <w:tcPr>
            <w:tcW w:w="1546" w:type="dxa"/>
            <w:tcBorders>
              <w:top w:val="single" w:color="auto" w:sz="4" w:space="0"/>
              <w:left w:val="single" w:color="auto" w:sz="4" w:space="0"/>
              <w:bottom w:val="single" w:color="auto" w:sz="4" w:space="0"/>
              <w:right w:val="single" w:color="auto" w:sz="4" w:space="0"/>
            </w:tcBorders>
          </w:tcPr>
          <w:p w14:paraId="24F7E198">
            <w:pPr>
              <w:widowControl/>
              <w:spacing w:line="352"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具体技术应用与表现</w:t>
            </w:r>
          </w:p>
        </w:tc>
        <w:tc>
          <w:tcPr>
            <w:tcW w:w="3750" w:type="dxa"/>
            <w:tcBorders>
              <w:top w:val="single" w:color="auto" w:sz="4" w:space="0"/>
              <w:left w:val="single" w:color="auto" w:sz="4" w:space="0"/>
              <w:bottom w:val="single" w:color="auto" w:sz="4" w:space="0"/>
              <w:right w:val="single" w:color="auto" w:sz="4" w:space="0"/>
            </w:tcBorders>
          </w:tcPr>
          <w:p w14:paraId="54963E23">
            <w:pPr>
              <w:widowControl/>
              <w:spacing w:line="352"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具体应用案例</w:t>
            </w:r>
          </w:p>
        </w:tc>
      </w:tr>
      <w:tr w14:paraId="5CAAB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39" w:type="dxa"/>
            <w:tcBorders>
              <w:top w:val="single" w:color="auto" w:sz="4" w:space="0"/>
              <w:left w:val="single" w:color="auto" w:sz="4" w:space="0"/>
              <w:bottom w:val="single" w:color="auto" w:sz="4" w:space="0"/>
              <w:right w:val="single" w:color="auto" w:sz="4" w:space="0"/>
            </w:tcBorders>
            <w:vAlign w:val="center"/>
          </w:tcPr>
          <w:p w14:paraId="3A5A443B">
            <w:pPr>
              <w:widowControl/>
              <w:spacing w:line="270" w:lineRule="exact"/>
              <w:jc w:val="both"/>
              <w:rPr>
                <w:rFonts w:ascii="Times New Roman" w:hAnsi="Times New Roman" w:eastAsia="方正仿宋简体" w:cs="方正仿宋简体"/>
                <w:bCs/>
                <w:sz w:val="21"/>
                <w:szCs w:val="21"/>
                <w:lang w:val="en-US" w:eastAsia="zh-CN"/>
              </w:rPr>
            </w:pPr>
            <w:bookmarkStart w:id="437" w:name="_Hlk237559369"/>
            <w:r>
              <w:rPr>
                <w:rFonts w:ascii="Times New Roman" w:hAnsi="Times New Roman" w:eastAsia="方正仿宋简体" w:cs="方正仿宋简体"/>
                <w:b/>
                <w:bCs/>
                <w:sz w:val="21"/>
                <w:szCs w:val="21"/>
                <w:lang w:val="en-US" w:eastAsia="zh-CN"/>
              </w:rPr>
              <w:t>种质资源薄弱，适配品种稀缺</w:t>
            </w:r>
            <w:r>
              <w:rPr>
                <w:rFonts w:ascii="Times New Roman" w:hAnsi="Times New Roman" w:eastAsia="方正仿宋简体" w:cs="方正仿宋简体"/>
                <w:bCs/>
                <w:sz w:val="21"/>
                <w:szCs w:val="21"/>
                <w:lang w:val="en-US" w:eastAsia="zh-CN"/>
              </w:rPr>
              <w:t>：市域平均海拔高、气候严寒、无霜期短，原生适宜种植作物品类有限，乡土优质藏药材、经济作物种质资源未系统摸排，人工种植适配品种匮乏，长期依赖野生资源，种质驯化、良种繁育体系空白。</w:t>
            </w:r>
          </w:p>
        </w:tc>
        <w:tc>
          <w:tcPr>
            <w:tcW w:w="1546" w:type="dxa"/>
            <w:tcBorders>
              <w:top w:val="single" w:color="auto" w:sz="4" w:space="0"/>
              <w:left w:val="single" w:color="auto" w:sz="4" w:space="0"/>
              <w:bottom w:val="single" w:color="auto" w:sz="4" w:space="0"/>
              <w:right w:val="single" w:color="auto" w:sz="4" w:space="0"/>
            </w:tcBorders>
            <w:vAlign w:val="center"/>
          </w:tcPr>
          <w:p w14:paraId="33F85384">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种质资源普查与良种驯化繁育。</w:t>
            </w:r>
          </w:p>
        </w:tc>
        <w:tc>
          <w:tcPr>
            <w:tcW w:w="3750" w:type="dxa"/>
            <w:tcBorders>
              <w:top w:val="single" w:color="auto" w:sz="4" w:space="0"/>
              <w:left w:val="single" w:color="auto" w:sz="4" w:space="0"/>
              <w:bottom w:val="single" w:color="auto" w:sz="4" w:space="0"/>
              <w:right w:val="single" w:color="auto" w:sz="4" w:space="0"/>
            </w:tcBorders>
            <w:vAlign w:val="center"/>
          </w:tcPr>
          <w:p w14:paraId="58A8BEC0">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开展高原乡土作物、特色藏药材种质资源全域普查，建立本土种质资源数据库；筛选适配高海拔气候的优质品种，开展野生藏药材人工驯化试验、优良种苗繁育培育，搭建高原良种选育试验体系。</w:t>
            </w:r>
          </w:p>
        </w:tc>
      </w:tr>
      <w:tr w14:paraId="0485E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39" w:type="dxa"/>
            <w:tcBorders>
              <w:top w:val="single" w:color="auto" w:sz="4" w:space="0"/>
              <w:left w:val="single" w:color="auto" w:sz="4" w:space="0"/>
              <w:bottom w:val="single" w:color="auto" w:sz="4" w:space="0"/>
              <w:right w:val="single" w:color="auto" w:sz="4" w:space="0"/>
            </w:tcBorders>
            <w:vAlign w:val="center"/>
          </w:tcPr>
          <w:p w14:paraId="1C31A5EA">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
                <w:bCs/>
                <w:sz w:val="21"/>
                <w:szCs w:val="21"/>
                <w:lang w:val="en-US" w:eastAsia="zh-CN"/>
              </w:rPr>
              <w:t>种植模式粗放，产能效益偏低</w:t>
            </w:r>
            <w:r>
              <w:rPr>
                <w:rFonts w:ascii="Times New Roman" w:hAnsi="Times New Roman" w:eastAsia="方正仿宋简体" w:cs="方正仿宋简体"/>
                <w:bCs/>
                <w:sz w:val="21"/>
                <w:szCs w:val="21"/>
                <w:lang w:val="en-US" w:eastAsia="zh-CN"/>
              </w:rPr>
              <w:t>：传统种植多为露天散种、只种不管的粗放模式，缺乏标准化耕作流程，土壤墒情、温度水肥管控缺失，抗灾抗逆能力弱，作物成活率、</w:t>
            </w:r>
            <w:r>
              <w:rPr>
                <w:rFonts w:hint="eastAsia" w:ascii="Times New Roman" w:hAnsi="Times New Roman" w:eastAsia="方正仿宋简体" w:cs="方正仿宋简体"/>
                <w:bCs/>
                <w:sz w:val="21"/>
                <w:szCs w:val="21"/>
                <w:lang w:val="en-US" w:eastAsia="zh-CN"/>
              </w:rPr>
              <w:t>亩产量</w:t>
            </w:r>
            <w:r>
              <w:rPr>
                <w:rFonts w:ascii="Times New Roman" w:hAnsi="Times New Roman" w:eastAsia="方正仿宋简体" w:cs="方正仿宋简体"/>
                <w:bCs/>
                <w:sz w:val="21"/>
                <w:szCs w:val="21"/>
                <w:lang w:val="en-US" w:eastAsia="zh-CN"/>
              </w:rPr>
              <w:t>不稳定，规模化、标准化种植水平不足。</w:t>
            </w:r>
          </w:p>
        </w:tc>
        <w:tc>
          <w:tcPr>
            <w:tcW w:w="1546" w:type="dxa"/>
            <w:tcBorders>
              <w:top w:val="single" w:color="auto" w:sz="4" w:space="0"/>
              <w:left w:val="single" w:color="auto" w:sz="4" w:space="0"/>
              <w:bottom w:val="single" w:color="auto" w:sz="4" w:space="0"/>
              <w:right w:val="single" w:color="auto" w:sz="4" w:space="0"/>
            </w:tcBorders>
            <w:vAlign w:val="center"/>
          </w:tcPr>
          <w:p w14:paraId="37B6C465">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设施农业与标准化种植管控。</w:t>
            </w:r>
          </w:p>
        </w:tc>
        <w:tc>
          <w:tcPr>
            <w:tcW w:w="3750" w:type="dxa"/>
            <w:tcBorders>
              <w:top w:val="single" w:color="auto" w:sz="4" w:space="0"/>
              <w:left w:val="single" w:color="auto" w:sz="4" w:space="0"/>
              <w:bottom w:val="single" w:color="auto" w:sz="4" w:space="0"/>
              <w:right w:val="single" w:color="auto" w:sz="4" w:space="0"/>
            </w:tcBorders>
            <w:vAlign w:val="center"/>
          </w:tcPr>
          <w:p w14:paraId="79992DFB">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推广高海拔温室大棚、覆膜种植等设施农业模式，规避极端低温、霜冻、大风等气候影响；划定标准化种植试验田，划分精细化试验小区，规范整地、播种、施肥、管护全流程耕作标准，落地科学化田间管护模式。</w:t>
            </w:r>
          </w:p>
        </w:tc>
      </w:tr>
      <w:tr w14:paraId="56ACE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39" w:type="dxa"/>
            <w:tcBorders>
              <w:top w:val="single" w:color="auto" w:sz="4" w:space="0"/>
              <w:left w:val="single" w:color="auto" w:sz="4" w:space="0"/>
              <w:bottom w:val="single" w:color="auto" w:sz="4" w:space="0"/>
              <w:right w:val="single" w:color="auto" w:sz="4" w:space="0"/>
            </w:tcBorders>
            <w:vAlign w:val="center"/>
          </w:tcPr>
          <w:p w14:paraId="200DFF60">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
                <w:bCs/>
                <w:sz w:val="21"/>
                <w:szCs w:val="21"/>
                <w:lang w:val="en-US" w:eastAsia="zh-CN"/>
              </w:rPr>
              <w:t>资源利用无序，生态约束较强</w:t>
            </w:r>
            <w:r>
              <w:rPr>
                <w:rFonts w:ascii="Times New Roman" w:hAnsi="Times New Roman" w:eastAsia="方正仿宋简体" w:cs="方正仿宋简体"/>
                <w:bCs/>
                <w:sz w:val="21"/>
                <w:szCs w:val="21"/>
                <w:lang w:val="en-US" w:eastAsia="zh-CN"/>
              </w:rPr>
              <w:t>：特色藏药材长期以野外自然采集为主，无序采挖现象普遍，加剧高原生态植被破坏；野生资源存量逐年递减，难以形成稳定产业供给，无法支撑种植业规模化长效发展。</w:t>
            </w:r>
          </w:p>
        </w:tc>
        <w:tc>
          <w:tcPr>
            <w:tcW w:w="1546" w:type="dxa"/>
            <w:tcBorders>
              <w:top w:val="single" w:color="auto" w:sz="4" w:space="0"/>
              <w:left w:val="single" w:color="auto" w:sz="4" w:space="0"/>
              <w:bottom w:val="single" w:color="auto" w:sz="4" w:space="0"/>
              <w:right w:val="single" w:color="auto" w:sz="4" w:space="0"/>
            </w:tcBorders>
            <w:vAlign w:val="center"/>
          </w:tcPr>
          <w:p w14:paraId="540AC75D">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生态友好型人工替代种植。</w:t>
            </w:r>
          </w:p>
        </w:tc>
        <w:tc>
          <w:tcPr>
            <w:tcW w:w="3750" w:type="dxa"/>
            <w:tcBorders>
              <w:top w:val="single" w:color="auto" w:sz="4" w:space="0"/>
              <w:left w:val="single" w:color="auto" w:sz="4" w:space="0"/>
              <w:bottom w:val="single" w:color="auto" w:sz="4" w:space="0"/>
              <w:right w:val="single" w:color="auto" w:sz="4" w:space="0"/>
            </w:tcBorders>
            <w:vAlign w:val="center"/>
          </w:tcPr>
          <w:p w14:paraId="3C8F0B2F">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推行林下仿野生、高原大田规范化人工种植模式，替代传统野外掠夺式采集；针对绿绒蒿、桃儿七等濒危藏药材，开展规模化人工培育种植，同步配套生态管护举措，实现种植开发与生态保护协同推进。</w:t>
            </w:r>
          </w:p>
        </w:tc>
      </w:tr>
      <w:tr w14:paraId="03629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39" w:type="dxa"/>
            <w:tcBorders>
              <w:top w:val="single" w:color="auto" w:sz="4" w:space="0"/>
              <w:left w:val="single" w:color="auto" w:sz="4" w:space="0"/>
              <w:bottom w:val="single" w:color="auto" w:sz="4" w:space="0"/>
              <w:right w:val="single" w:color="auto" w:sz="4" w:space="0"/>
            </w:tcBorders>
            <w:vAlign w:val="center"/>
          </w:tcPr>
          <w:p w14:paraId="411DC047">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
                <w:bCs/>
                <w:sz w:val="21"/>
                <w:szCs w:val="21"/>
                <w:lang w:val="en-US" w:eastAsia="zh-CN"/>
              </w:rPr>
              <w:t>品控体系缺失，市场辨识度弱</w:t>
            </w:r>
            <w:r>
              <w:rPr>
                <w:rFonts w:ascii="Times New Roman" w:hAnsi="Times New Roman" w:eastAsia="方正仿宋简体" w:cs="方正仿宋简体"/>
                <w:bCs/>
                <w:sz w:val="21"/>
                <w:szCs w:val="21"/>
                <w:lang w:val="en-US" w:eastAsia="zh-CN"/>
              </w:rPr>
              <w:t>：特色种植产品无统一分级标准，原料品质参差不齐，缺乏规范化质量检测手段，产品溯源体系不完善，存在以次充好、品质乱象，制约高原种植特色品牌培育。</w:t>
            </w:r>
          </w:p>
        </w:tc>
        <w:tc>
          <w:tcPr>
            <w:tcW w:w="1546" w:type="dxa"/>
            <w:tcBorders>
              <w:top w:val="single" w:color="auto" w:sz="4" w:space="0"/>
              <w:left w:val="single" w:color="auto" w:sz="4" w:space="0"/>
              <w:bottom w:val="single" w:color="auto" w:sz="4" w:space="0"/>
              <w:right w:val="single" w:color="auto" w:sz="4" w:space="0"/>
            </w:tcBorders>
            <w:vAlign w:val="center"/>
          </w:tcPr>
          <w:p w14:paraId="2D66292E">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标准化品控与数字化溯源建设。</w:t>
            </w:r>
          </w:p>
        </w:tc>
        <w:tc>
          <w:tcPr>
            <w:tcW w:w="3750" w:type="dxa"/>
            <w:tcBorders>
              <w:top w:val="single" w:color="auto" w:sz="4" w:space="0"/>
              <w:left w:val="single" w:color="auto" w:sz="4" w:space="0"/>
              <w:bottom w:val="single" w:color="auto" w:sz="4" w:space="0"/>
              <w:right w:val="single" w:color="auto" w:sz="4" w:space="0"/>
            </w:tcBorders>
            <w:vAlign w:val="center"/>
          </w:tcPr>
          <w:p w14:paraId="434684D4">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搭建特色种植产品全流程质量筛查体系，引入农产品快速检测设备，落实种植产品品质分级管控；建立种植产品溯源档案，归集种苗繁育、田间管护、采收加工全链条数据，搭建数字化溯源管理体系。</w:t>
            </w:r>
          </w:p>
        </w:tc>
      </w:tr>
      <w:bookmarkEnd w:id="437"/>
    </w:tbl>
    <w:p w14:paraId="79777868">
      <w:pPr>
        <w:spacing w:line="576" w:lineRule="exact"/>
        <w:ind w:firstLine="643" w:firstLineChars="200"/>
        <w:jc w:val="both"/>
        <w:rPr>
          <w:rFonts w:ascii="Times New Roman" w:hAnsi="Times New Roman" w:eastAsia="方正仿宋简体" w:cs="方正仿宋简体"/>
          <w:bCs/>
          <w:sz w:val="32"/>
          <w:szCs w:val="28"/>
          <w:lang w:eastAsia="zh-CN"/>
        </w:rPr>
      </w:pPr>
      <w:r>
        <w:rPr>
          <w:rFonts w:hint="eastAsia" w:ascii="Times New Roman" w:hAnsi="Times New Roman" w:eastAsia="方正仿宋简体" w:cs="方正仿宋简体"/>
          <w:b/>
          <w:sz w:val="32"/>
          <w:szCs w:val="28"/>
          <w:lang w:eastAsia="zh-CN"/>
        </w:rPr>
        <w:t>驱动效果：</w:t>
      </w:r>
      <w:r>
        <w:rPr>
          <w:rFonts w:ascii="Times New Roman" w:hAnsi="Times New Roman" w:eastAsia="方正仿宋简体" w:cs="方正仿宋简体"/>
          <w:bCs/>
          <w:sz w:val="32"/>
          <w:szCs w:val="28"/>
          <w:lang w:eastAsia="zh-CN"/>
        </w:rPr>
        <w:t>通过种质繁育、设施种植、生态培育、标准质控四大技术体系，补齐那曲高海拔特色种植业种质、耕作、管护、品控短板，彻底扭转传统无序采集、粗放种植模式，筑牢高原特色种植业可持续发展根基，擦亮那曲高原种植特色产业品牌。</w:t>
      </w:r>
    </w:p>
    <w:p w14:paraId="77532237">
      <w:pPr>
        <w:pStyle w:val="8"/>
        <w:overflowPunct w:val="0"/>
        <w:topLinePunct/>
        <w:autoSpaceDE/>
        <w:autoSpaceDN/>
        <w:spacing w:before="0" w:line="576" w:lineRule="exact"/>
        <w:ind w:left="0" w:firstLine="640" w:firstLineChars="200"/>
        <w:jc w:val="both"/>
        <w:outlineLvl w:val="1"/>
        <w:rPr>
          <w:rFonts w:ascii="Times New Roman" w:hAnsi="Times New Roman" w:eastAsia="方正楷体简体" w:cs="方正楷体简体"/>
          <w:sz w:val="32"/>
          <w:szCs w:val="32"/>
          <w:lang w:eastAsia="zh-CN"/>
        </w:rPr>
      </w:pPr>
      <w:bookmarkStart w:id="438" w:name="_Toc243241558"/>
      <w:bookmarkStart w:id="439" w:name="OLE_LINK92"/>
      <w:bookmarkStart w:id="440" w:name="OLE_LINK114"/>
      <w:bookmarkStart w:id="441" w:name="OLE_LINK120"/>
      <w:r>
        <w:rPr>
          <w:rFonts w:hint="eastAsia" w:ascii="Times New Roman" w:hAnsi="Times New Roman" w:eastAsia="方正楷体简体" w:cs="方正楷体简体"/>
          <w:sz w:val="32"/>
          <w:szCs w:val="32"/>
        </w:rPr>
        <w:t>（九）天然饮用水产业</w:t>
      </w:r>
      <w:bookmarkEnd w:id="438"/>
    </w:p>
    <w:p w14:paraId="4B54A2AC">
      <w:pPr>
        <w:spacing w:line="576" w:lineRule="exact"/>
        <w:ind w:firstLine="640" w:firstLineChars="200"/>
        <w:jc w:val="both"/>
        <w:rPr>
          <w:rFonts w:hint="eastAsia" w:ascii="方正仿宋简体" w:hAnsi="方正仿宋简体" w:eastAsia="方正仿宋简体" w:cs="方正仿宋简体"/>
          <w:bCs/>
          <w:sz w:val="32"/>
          <w:szCs w:val="28"/>
          <w:lang w:val="en-US" w:eastAsia="zh-CN"/>
        </w:rPr>
      </w:pPr>
      <w:r>
        <w:rPr>
          <w:rFonts w:hint="eastAsia" w:ascii="方正仿宋简体" w:hAnsi="方正仿宋简体" w:eastAsia="方正仿宋简体" w:cs="方正仿宋简体"/>
          <w:bCs/>
          <w:sz w:val="32"/>
          <w:szCs w:val="28"/>
          <w:lang w:eastAsia="zh-CN"/>
        </w:rPr>
        <w:t>天然饮用水产业的技术驱动趋势是：从“资源开采”到“智慧水业”，这是破解高海拔产业发展制约、放大极地水源价值的关键抓手，也是产业由特色潜力产业向战略性支柱产业迭代进阶的核心支撑。</w:t>
      </w:r>
    </w:p>
    <w:p w14:paraId="08F182B8">
      <w:pPr>
        <w:spacing w:line="576" w:lineRule="exact"/>
        <w:jc w:val="center"/>
        <w:rPr>
          <w:rFonts w:ascii="Times New Roman" w:hAnsi="Times New Roman" w:eastAsia="方正仿宋简体" w:cs="方正仿宋简体"/>
          <w:b/>
          <w:sz w:val="32"/>
          <w:szCs w:val="32"/>
          <w:lang w:eastAsia="zh-CN"/>
        </w:rPr>
      </w:pPr>
      <w:bookmarkStart w:id="442" w:name="OLE_LINK130"/>
      <w:r>
        <w:rPr>
          <w:rFonts w:hint="eastAsia" w:ascii="Times New Roman" w:hAnsi="Times New Roman" w:eastAsia="方正仿宋简体" w:cs="方正仿宋简体"/>
          <w:b/>
          <w:sz w:val="32"/>
          <w:szCs w:val="32"/>
          <w:lang w:eastAsia="zh-CN"/>
        </w:rPr>
        <w:t>那曲市天然饮用水产业技术驱动趋势</w:t>
      </w:r>
    </w:p>
    <w:tbl>
      <w:tblPr>
        <w:tblStyle w:val="21"/>
        <w:tblW w:w="0" w:type="auto"/>
        <w:tblCellSpacing w:w="15" w:type="dxa"/>
        <w:tblInd w:w="0" w:type="dxa"/>
        <w:tblLayout w:type="autofit"/>
        <w:tblCellMar>
          <w:top w:w="15" w:type="dxa"/>
          <w:left w:w="15" w:type="dxa"/>
          <w:bottom w:w="15" w:type="dxa"/>
          <w:right w:w="15" w:type="dxa"/>
        </w:tblCellMar>
      </w:tblPr>
      <w:tblGrid>
        <w:gridCol w:w="2448"/>
        <w:gridCol w:w="1258"/>
        <w:gridCol w:w="5129"/>
      </w:tblGrid>
      <w:tr w14:paraId="5EE66D5D">
        <w:tblPrEx>
          <w:tblCellMar>
            <w:top w:w="15" w:type="dxa"/>
            <w:left w:w="15" w:type="dxa"/>
            <w:bottom w:w="15" w:type="dxa"/>
            <w:right w:w="15" w:type="dxa"/>
          </w:tblCellMar>
        </w:tblPrEx>
        <w:trPr>
          <w:trHeight w:val="804" w:hRule="atLeast"/>
          <w:tblHeader/>
          <w:tblCellSpacing w:w="15" w:type="dxa"/>
        </w:trPr>
        <w:tc>
          <w:tcPr>
            <w:tcW w:w="2403" w:type="dxa"/>
            <w:tcBorders>
              <w:top w:val="single" w:color="auto" w:sz="4" w:space="0"/>
              <w:left w:val="single" w:color="auto" w:sz="4" w:space="0"/>
              <w:bottom w:val="single" w:color="auto" w:sz="4" w:space="0"/>
              <w:right w:val="single" w:color="auto" w:sz="4" w:space="0"/>
            </w:tcBorders>
            <w:vAlign w:val="center"/>
          </w:tcPr>
          <w:p w14:paraId="34308557">
            <w:pPr>
              <w:spacing w:line="352"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产业现状与瓶颈</w:t>
            </w:r>
          </w:p>
        </w:tc>
        <w:tc>
          <w:tcPr>
            <w:tcW w:w="1228" w:type="dxa"/>
            <w:tcBorders>
              <w:top w:val="single" w:color="auto" w:sz="4" w:space="0"/>
              <w:bottom w:val="single" w:color="auto" w:sz="4" w:space="0"/>
              <w:right w:val="single" w:color="auto" w:sz="4" w:space="0"/>
            </w:tcBorders>
            <w:vAlign w:val="center"/>
          </w:tcPr>
          <w:p w14:paraId="447832CC">
            <w:pPr>
              <w:spacing w:line="352"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技术创新</w:t>
            </w:r>
          </w:p>
          <w:p w14:paraId="52418DEE">
            <w:pPr>
              <w:spacing w:line="352"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驱动趋势</w:t>
            </w:r>
          </w:p>
        </w:tc>
        <w:tc>
          <w:tcPr>
            <w:tcW w:w="5084" w:type="dxa"/>
            <w:tcBorders>
              <w:top w:val="single" w:color="auto" w:sz="4" w:space="0"/>
              <w:bottom w:val="single" w:color="auto" w:sz="4" w:space="0"/>
              <w:right w:val="single" w:color="auto" w:sz="4" w:space="0"/>
            </w:tcBorders>
            <w:vAlign w:val="center"/>
          </w:tcPr>
          <w:p w14:paraId="37EECACA">
            <w:pPr>
              <w:spacing w:line="352"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具体技术与应用</w:t>
            </w:r>
          </w:p>
        </w:tc>
      </w:tr>
      <w:tr w14:paraId="17A2CC74">
        <w:tblPrEx>
          <w:tblCellMar>
            <w:top w:w="15" w:type="dxa"/>
            <w:left w:w="15" w:type="dxa"/>
            <w:bottom w:w="15" w:type="dxa"/>
            <w:right w:w="15" w:type="dxa"/>
          </w:tblCellMar>
        </w:tblPrEx>
        <w:trPr>
          <w:trHeight w:val="2051" w:hRule="atLeast"/>
          <w:tblCellSpacing w:w="15" w:type="dxa"/>
        </w:trPr>
        <w:tc>
          <w:tcPr>
            <w:tcW w:w="2403" w:type="dxa"/>
            <w:tcBorders>
              <w:left w:val="single" w:color="auto" w:sz="4" w:space="0"/>
              <w:bottom w:val="single" w:color="auto" w:sz="4" w:space="0"/>
              <w:right w:val="single" w:color="auto" w:sz="4" w:space="0"/>
            </w:tcBorders>
            <w:vAlign w:val="center"/>
          </w:tcPr>
          <w:p w14:paraId="48FE7BA6">
            <w:pPr>
              <w:widowControl/>
              <w:spacing w:line="270" w:lineRule="exact"/>
              <w:jc w:val="both"/>
              <w:rPr>
                <w:rFonts w:hint="eastAsia"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水源地地处高海拔高寒区域，生态环境脆弱，冰川、湖泊水源动态监测难度大，水源保护管控手段不足，极端冻害、气候变化对水源禀赋带来潜在风险。</w:t>
            </w:r>
          </w:p>
        </w:tc>
        <w:tc>
          <w:tcPr>
            <w:tcW w:w="1228" w:type="dxa"/>
            <w:tcBorders>
              <w:bottom w:val="single" w:color="auto" w:sz="4" w:space="0"/>
              <w:right w:val="single" w:color="auto" w:sz="4" w:space="0"/>
            </w:tcBorders>
            <w:vAlign w:val="center"/>
          </w:tcPr>
          <w:p w14:paraId="65DA7A9A">
            <w:pPr>
              <w:widowControl/>
              <w:spacing w:line="270" w:lineRule="exact"/>
              <w:jc w:val="both"/>
              <w:rPr>
                <w:rFonts w:hint="eastAsia"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智慧水源生态监测与保护预警。</w:t>
            </w:r>
          </w:p>
        </w:tc>
        <w:tc>
          <w:tcPr>
            <w:tcW w:w="5084" w:type="dxa"/>
            <w:tcBorders>
              <w:bottom w:val="single" w:color="auto" w:sz="4" w:space="0"/>
              <w:right w:val="single" w:color="auto" w:sz="4" w:space="0"/>
            </w:tcBorders>
            <w:vAlign w:val="center"/>
          </w:tcPr>
          <w:p w14:paraId="099E43FC">
            <w:pPr>
              <w:widowControl/>
              <w:spacing w:line="270" w:lineRule="exact"/>
              <w:jc w:val="both"/>
              <w:rPr>
                <w:rFonts w:hint="eastAsia"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运用卫星遥感、遥感解译技术开展冰川消融、湖泊水文、水源地生态变化动态监测；依托无人机对“一塔四源”重点水源保护区开展常态化巡护巡检；布设物联网水质、水文、气象地面传感器，实时采集水源地水温、水位、微量元素、生态环境数据；搭建天然饮用水水源大数据管理平台，归集水源勘察、生态预警、水资源承载力评价相关数据，实现水源开发与生态保护协同管控。</w:t>
            </w:r>
          </w:p>
        </w:tc>
      </w:tr>
      <w:tr w14:paraId="35B140D9">
        <w:tblPrEx>
          <w:tblCellMar>
            <w:top w:w="15" w:type="dxa"/>
            <w:left w:w="15" w:type="dxa"/>
            <w:bottom w:w="15" w:type="dxa"/>
            <w:right w:w="15" w:type="dxa"/>
          </w:tblCellMar>
        </w:tblPrEx>
        <w:trPr>
          <w:trHeight w:val="2408" w:hRule="atLeast"/>
          <w:tblCellSpacing w:w="15" w:type="dxa"/>
        </w:trPr>
        <w:tc>
          <w:tcPr>
            <w:tcW w:w="2403" w:type="dxa"/>
            <w:tcBorders>
              <w:left w:val="single" w:color="auto" w:sz="4" w:space="0"/>
              <w:bottom w:val="single" w:color="auto" w:sz="4" w:space="0"/>
              <w:right w:val="single" w:color="auto" w:sz="4" w:space="0"/>
            </w:tcBorders>
            <w:vAlign w:val="center"/>
          </w:tcPr>
          <w:p w14:paraId="5B8A3091">
            <w:pPr>
              <w:widowControl/>
              <w:spacing w:line="270" w:lineRule="exact"/>
              <w:jc w:val="both"/>
              <w:rPr>
                <w:rFonts w:hint="eastAsia"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高海拔低温低压环境下通用生产设备适应性差，设备运维成本高，产能利用率不足，水质在线管控能力薄弱，高原适配型智能化生产工艺有待深化应用。</w:t>
            </w:r>
          </w:p>
        </w:tc>
        <w:tc>
          <w:tcPr>
            <w:tcW w:w="1228" w:type="dxa"/>
            <w:tcBorders>
              <w:bottom w:val="single" w:color="auto" w:sz="4" w:space="0"/>
              <w:right w:val="single" w:color="auto" w:sz="4" w:space="0"/>
            </w:tcBorders>
            <w:vAlign w:val="center"/>
          </w:tcPr>
          <w:p w14:paraId="5F760DE1">
            <w:pPr>
              <w:widowControl/>
              <w:spacing w:line="270" w:lineRule="exact"/>
              <w:jc w:val="both"/>
              <w:rPr>
                <w:rFonts w:hint="eastAsia"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高海拔数字化智能生产与品质管控。</w:t>
            </w:r>
          </w:p>
        </w:tc>
        <w:tc>
          <w:tcPr>
            <w:tcW w:w="5084" w:type="dxa"/>
            <w:tcBorders>
              <w:bottom w:val="single" w:color="auto" w:sz="4" w:space="0"/>
              <w:right w:val="single" w:color="auto" w:sz="4" w:space="0"/>
            </w:tcBorders>
            <w:vAlign w:val="center"/>
          </w:tcPr>
          <w:p w14:paraId="4EFF5D75">
            <w:pPr>
              <w:widowControl/>
              <w:spacing w:line="270" w:lineRule="exact"/>
              <w:jc w:val="both"/>
              <w:rPr>
                <w:rFonts w:hint="eastAsia"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推广适配高寒低压环境的智能化水厂成套装备，配套设备智能温控、保温防冻模块，解决低温冻损停机难题；部署原水预处理、精密过滤、非臭氧干法杀菌自动化产线，实现取水、灌装、消杀、码垛全流程密闭无人化作业；搭建生产端物联网在线检测系统，对微生物、微量元素、消毒副产物开展实时在线分析；推进水厂设备远程运维诊断系统建设，降低高海拔现场运维人力投入，稳定产品品质与生产效能。</w:t>
            </w:r>
          </w:p>
        </w:tc>
      </w:tr>
      <w:tr w14:paraId="03BA8C86">
        <w:tblPrEx>
          <w:tblCellMar>
            <w:top w:w="15" w:type="dxa"/>
            <w:left w:w="15" w:type="dxa"/>
            <w:bottom w:w="15" w:type="dxa"/>
            <w:right w:w="15" w:type="dxa"/>
          </w:tblCellMar>
        </w:tblPrEx>
        <w:trPr>
          <w:trHeight w:val="900" w:hRule="atLeast"/>
          <w:tblCellSpacing w:w="15" w:type="dxa"/>
        </w:trPr>
        <w:tc>
          <w:tcPr>
            <w:tcW w:w="2403" w:type="dxa"/>
            <w:tcBorders>
              <w:left w:val="single" w:color="auto" w:sz="4" w:space="0"/>
              <w:bottom w:val="single" w:color="auto" w:sz="4" w:space="0"/>
              <w:right w:val="single" w:color="auto" w:sz="4" w:space="0"/>
            </w:tcBorders>
            <w:vAlign w:val="center"/>
          </w:tcPr>
          <w:p w14:paraId="6C119B86">
            <w:pPr>
              <w:widowControl/>
              <w:spacing w:line="270" w:lineRule="exact"/>
              <w:jc w:val="both"/>
              <w:rPr>
                <w:rFonts w:hint="eastAsia"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产业链上下游数据割裂，产品原产地辨识度挖掘不足，品牌化标准化建设仍处起步阶段，长距离物流管控难度大，产品溢价能力未能充分释放。</w:t>
            </w:r>
          </w:p>
        </w:tc>
        <w:tc>
          <w:tcPr>
            <w:tcW w:w="1228" w:type="dxa"/>
            <w:tcBorders>
              <w:bottom w:val="single" w:color="auto" w:sz="4" w:space="0"/>
              <w:right w:val="single" w:color="auto" w:sz="4" w:space="0"/>
            </w:tcBorders>
            <w:vAlign w:val="center"/>
          </w:tcPr>
          <w:p w14:paraId="7A884396">
            <w:pPr>
              <w:widowControl/>
              <w:spacing w:line="270" w:lineRule="exact"/>
              <w:jc w:val="both"/>
              <w:rPr>
                <w:rFonts w:hint="eastAsia"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全链条溯源赋能与价值链升级。</w:t>
            </w:r>
          </w:p>
        </w:tc>
        <w:tc>
          <w:tcPr>
            <w:tcW w:w="5084" w:type="dxa"/>
            <w:tcBorders>
              <w:bottom w:val="single" w:color="auto" w:sz="4" w:space="0"/>
              <w:right w:val="single" w:color="auto" w:sz="4" w:space="0"/>
            </w:tcBorders>
            <w:vAlign w:val="center"/>
          </w:tcPr>
          <w:p w14:paraId="5895BE83">
            <w:pPr>
              <w:widowControl/>
              <w:spacing w:line="270" w:lineRule="exact"/>
              <w:jc w:val="both"/>
              <w:rPr>
                <w:rFonts w:hint="eastAsia"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归集水源地生态环境、开采加工、质量检疫检测、仓储物流全流程原始数据；搭建区块链产品溯源数据库，配置二维码溯源载体，打通生产端与消费端查询端口；对接藏北智慧物流体系，接入多式联运物流数据，实现产品出库、干线运输、终端流向全程可跟踪；依托溯源数据深度挖掘“极地好水（那水）”资源IP，赋能高端功能水、文创定制水差异化产品开发，放大品牌溢价空间。</w:t>
            </w:r>
          </w:p>
        </w:tc>
      </w:tr>
      <w:bookmarkEnd w:id="442"/>
    </w:tbl>
    <w:p w14:paraId="26AD977F">
      <w:pPr>
        <w:spacing w:line="576" w:lineRule="exact"/>
        <w:ind w:firstLine="643" w:firstLineChars="200"/>
        <w:jc w:val="both"/>
        <w:rPr>
          <w:rFonts w:ascii="Times New Roman" w:hAnsi="Times New Roman" w:eastAsia="方正仿宋简体" w:cs="方正仿宋简体"/>
          <w:bCs/>
          <w:sz w:val="32"/>
          <w:szCs w:val="28"/>
          <w:lang w:val="en-US"/>
        </w:rPr>
      </w:pPr>
      <w:r>
        <w:rPr>
          <w:rFonts w:ascii="Times New Roman" w:hAnsi="Times New Roman" w:eastAsia="方正仿宋简体" w:cs="方正仿宋简体"/>
          <w:b/>
          <w:sz w:val="32"/>
          <w:szCs w:val="28"/>
          <w:lang w:eastAsia="zh-CN"/>
        </w:rPr>
        <w:t>驱动效果：</w:t>
      </w:r>
      <w:r>
        <w:rPr>
          <w:rFonts w:ascii="Times New Roman" w:hAnsi="Times New Roman" w:eastAsia="方正仿宋简体" w:cs="方正仿宋简体"/>
          <w:bCs/>
          <w:sz w:val="32"/>
          <w:szCs w:val="28"/>
          <w:lang w:val="en-US"/>
        </w:rPr>
        <w:t>强化水源地生态保护能力，破解高海拔生产运维痛点，稳定产品质量、提升产能利用效率，依托溯源体系强化原产地品牌辨识度，降低全链条综合运营成本，充分释放资源禀赋价值，助力产业扩量提质增效，带动本地就业增收，夯实向战略性支柱产业发展的技术根基。</w:t>
      </w:r>
    </w:p>
    <w:p w14:paraId="6C999A0F">
      <w:pPr>
        <w:pStyle w:val="8"/>
        <w:overflowPunct w:val="0"/>
        <w:topLinePunct/>
        <w:autoSpaceDE/>
        <w:autoSpaceDN/>
        <w:spacing w:before="0" w:line="576" w:lineRule="exact"/>
        <w:ind w:left="0" w:firstLine="640" w:firstLineChars="200"/>
        <w:jc w:val="both"/>
        <w:outlineLvl w:val="1"/>
        <w:rPr>
          <w:rFonts w:ascii="Times New Roman" w:hAnsi="Times New Roman" w:eastAsia="方正楷体简体" w:cs="方正楷体简体"/>
          <w:sz w:val="32"/>
          <w:szCs w:val="32"/>
          <w:lang w:eastAsia="zh-CN"/>
        </w:rPr>
      </w:pPr>
      <w:bookmarkStart w:id="443" w:name="_Toc243241559"/>
      <w:r>
        <w:rPr>
          <w:rFonts w:hint="eastAsia" w:ascii="Times New Roman" w:hAnsi="Times New Roman" w:eastAsia="方正楷体简体" w:cs="方正楷体简体"/>
          <w:sz w:val="32"/>
          <w:szCs w:val="32"/>
        </w:rPr>
        <w:t>（十）卤虫卵产业</w:t>
      </w:r>
      <w:bookmarkEnd w:id="443"/>
    </w:p>
    <w:p w14:paraId="5BB810C2">
      <w:pPr>
        <w:spacing w:line="576" w:lineRule="exact"/>
        <w:ind w:firstLine="640" w:firstLineChars="200"/>
        <w:jc w:val="both"/>
        <w:rPr>
          <w:rFonts w:hint="eastAsia" w:ascii="方正仿宋简体" w:hAnsi="方正仿宋简体" w:eastAsia="方正仿宋简体" w:cs="方正仿宋简体"/>
          <w:bCs/>
          <w:sz w:val="32"/>
          <w:szCs w:val="28"/>
          <w:lang w:eastAsia="zh-CN"/>
        </w:rPr>
      </w:pPr>
      <w:r>
        <w:rPr>
          <w:rFonts w:hint="eastAsia" w:ascii="方正仿宋简体" w:hAnsi="方正仿宋简体" w:eastAsia="方正仿宋简体" w:cs="方正仿宋简体"/>
          <w:bCs/>
          <w:sz w:val="32"/>
          <w:szCs w:val="28"/>
          <w:lang w:eastAsia="zh-CN"/>
        </w:rPr>
        <w:t>卤虫卵产业的技术驱动趋势是：从“原料采收”到“智慧盐湖生物产业”，这是实现盐湖资源可持续开发、放大极地卤虫卵资源价值的关键路径，也是产业由原料加工向高附加值特色生物产业迭代升级的核心支撑。</w:t>
      </w:r>
    </w:p>
    <w:p w14:paraId="3F67BE1D">
      <w:pPr>
        <w:spacing w:line="576" w:lineRule="exact"/>
        <w:ind w:firstLine="643" w:firstLineChars="200"/>
        <w:jc w:val="center"/>
        <w:rPr>
          <w:rFonts w:ascii="Times New Roman" w:hAnsi="Times New Roman" w:eastAsia="方正仿宋简体" w:cs="方正仿宋简体"/>
          <w:b/>
          <w:bCs/>
          <w:sz w:val="32"/>
          <w:szCs w:val="28"/>
          <w:lang w:eastAsia="zh-CN"/>
        </w:rPr>
      </w:pPr>
      <w:bookmarkStart w:id="444" w:name="OLE_LINK221"/>
      <w:r>
        <w:rPr>
          <w:rFonts w:hint="eastAsia" w:ascii="Times New Roman" w:hAnsi="Times New Roman" w:eastAsia="方正仿宋简体" w:cs="方正仿宋简体"/>
          <w:b/>
          <w:bCs/>
          <w:sz w:val="32"/>
          <w:szCs w:val="28"/>
          <w:lang w:eastAsia="zh-CN"/>
        </w:rPr>
        <w:t>那曲市卤虫卵产业技术驱动趋势</w:t>
      </w:r>
    </w:p>
    <w:tbl>
      <w:tblPr>
        <w:tblStyle w:val="21"/>
        <w:tblW w:w="0" w:type="auto"/>
        <w:tblCellSpacing w:w="15" w:type="dxa"/>
        <w:tblInd w:w="0" w:type="dxa"/>
        <w:tblLayout w:type="autofit"/>
        <w:tblCellMar>
          <w:top w:w="0" w:type="dxa"/>
          <w:left w:w="108" w:type="dxa"/>
          <w:bottom w:w="0" w:type="dxa"/>
          <w:right w:w="108" w:type="dxa"/>
        </w:tblCellMar>
      </w:tblPr>
      <w:tblGrid>
        <w:gridCol w:w="2448"/>
        <w:gridCol w:w="2469"/>
        <w:gridCol w:w="3918"/>
      </w:tblGrid>
      <w:tr w14:paraId="18550DD3">
        <w:tblPrEx>
          <w:tblCellMar>
            <w:top w:w="0" w:type="dxa"/>
            <w:left w:w="108" w:type="dxa"/>
            <w:bottom w:w="0" w:type="dxa"/>
            <w:right w:w="108" w:type="dxa"/>
          </w:tblCellMar>
        </w:tblPrEx>
        <w:trPr>
          <w:trHeight w:val="666" w:hRule="atLeast"/>
          <w:tblHeader/>
          <w:tblCellSpacing w:w="15" w:type="dxa"/>
        </w:trPr>
        <w:tc>
          <w:tcPr>
            <w:tcW w:w="2403"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09F53DFF">
            <w:pPr>
              <w:spacing w:line="352"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产业现状与瓶颈</w:t>
            </w:r>
          </w:p>
        </w:tc>
        <w:tc>
          <w:tcPr>
            <w:tcW w:w="2439" w:type="dxa"/>
            <w:tcBorders>
              <w:top w:val="single" w:color="auto" w:sz="4" w:space="0"/>
              <w:left w:val="nil"/>
              <w:bottom w:val="single" w:color="auto" w:sz="4" w:space="0"/>
              <w:right w:val="single" w:color="auto" w:sz="4" w:space="0"/>
            </w:tcBorders>
            <w:tcMar>
              <w:top w:w="15" w:type="dxa"/>
              <w:left w:w="15" w:type="dxa"/>
              <w:bottom w:w="15" w:type="dxa"/>
              <w:right w:w="15" w:type="dxa"/>
            </w:tcMar>
            <w:vAlign w:val="center"/>
          </w:tcPr>
          <w:p w14:paraId="703DB60C">
            <w:pPr>
              <w:spacing w:line="352"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技术创新驱动趋势</w:t>
            </w:r>
          </w:p>
        </w:tc>
        <w:tc>
          <w:tcPr>
            <w:tcW w:w="3873" w:type="dxa"/>
            <w:tcBorders>
              <w:top w:val="single" w:color="auto" w:sz="4" w:space="0"/>
              <w:left w:val="nil"/>
              <w:bottom w:val="single" w:color="auto" w:sz="4" w:space="0"/>
              <w:right w:val="single" w:color="auto" w:sz="4" w:space="0"/>
            </w:tcBorders>
            <w:tcMar>
              <w:top w:w="15" w:type="dxa"/>
              <w:left w:w="15" w:type="dxa"/>
              <w:bottom w:w="15" w:type="dxa"/>
              <w:right w:w="15" w:type="dxa"/>
            </w:tcMar>
            <w:vAlign w:val="center"/>
          </w:tcPr>
          <w:p w14:paraId="0A7DD4B0">
            <w:pPr>
              <w:spacing w:line="352"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具体技术与应用</w:t>
            </w:r>
          </w:p>
        </w:tc>
      </w:tr>
      <w:tr w14:paraId="7C0C6301">
        <w:tblPrEx>
          <w:tblCellMar>
            <w:top w:w="0" w:type="dxa"/>
            <w:left w:w="108" w:type="dxa"/>
            <w:bottom w:w="0" w:type="dxa"/>
            <w:right w:w="108" w:type="dxa"/>
          </w:tblCellMar>
        </w:tblPrEx>
        <w:trPr>
          <w:trHeight w:val="2741" w:hRule="atLeast"/>
          <w:tblCellSpacing w:w="15" w:type="dxa"/>
        </w:trPr>
        <w:tc>
          <w:tcPr>
            <w:tcW w:w="2403" w:type="dxa"/>
            <w:tcBorders>
              <w:top w:val="nil"/>
              <w:left w:val="single" w:color="auto" w:sz="4" w:space="0"/>
              <w:bottom w:val="single" w:color="auto" w:sz="4" w:space="0"/>
              <w:right w:val="single" w:color="auto" w:sz="4" w:space="0"/>
            </w:tcBorders>
            <w:tcMar>
              <w:top w:w="15" w:type="dxa"/>
              <w:left w:w="15" w:type="dxa"/>
              <w:bottom w:w="15" w:type="dxa"/>
              <w:right w:w="15" w:type="dxa"/>
            </w:tcMar>
            <w:vAlign w:val="center"/>
          </w:tcPr>
          <w:p w14:paraId="12001FBD">
            <w:pPr>
              <w:widowControl/>
              <w:spacing w:line="270" w:lineRule="exact"/>
              <w:jc w:val="both"/>
              <w:rPr>
                <w:rFonts w:hint="eastAsia" w:ascii="Times New Roman" w:hAnsi="Times New Roman" w:eastAsia="方正仿宋简体" w:cs="方正仿宋简体"/>
                <w:bCs/>
                <w:sz w:val="21"/>
                <w:szCs w:val="21"/>
                <w:lang w:eastAsia="zh-CN"/>
              </w:rPr>
            </w:pPr>
            <w:bookmarkStart w:id="445" w:name="_Hlk240622650"/>
            <w:r>
              <w:rPr>
                <w:rFonts w:hint="eastAsia" w:ascii="Times New Roman" w:hAnsi="Times New Roman" w:eastAsia="方正仿宋简体" w:cs="方正仿宋简体"/>
                <w:bCs/>
                <w:sz w:val="21"/>
                <w:szCs w:val="21"/>
                <w:lang w:eastAsia="zh-CN"/>
              </w:rPr>
              <w:t>盐湖地处高海拔高寒地带，生态系统脆弱，卤虫资源动态评估难度大，传统调查采样效率低下，资源承载力研判不足，科学落实生态配额捕捞管控缺少数字化支撑手段。</w:t>
            </w:r>
          </w:p>
        </w:tc>
        <w:tc>
          <w:tcPr>
            <w:tcW w:w="2439" w:type="dxa"/>
            <w:tcBorders>
              <w:top w:val="nil"/>
              <w:left w:val="nil"/>
              <w:bottom w:val="single" w:color="auto" w:sz="4" w:space="0"/>
              <w:right w:val="single" w:color="auto" w:sz="4" w:space="0"/>
            </w:tcBorders>
            <w:tcMar>
              <w:top w:w="15" w:type="dxa"/>
              <w:left w:w="15" w:type="dxa"/>
              <w:bottom w:w="15" w:type="dxa"/>
              <w:right w:w="15" w:type="dxa"/>
            </w:tcMar>
            <w:vAlign w:val="center"/>
          </w:tcPr>
          <w:p w14:paraId="29CE3F19">
            <w:pPr>
              <w:widowControl/>
              <w:spacing w:line="270" w:lineRule="exact"/>
              <w:jc w:val="both"/>
              <w:rPr>
                <w:rFonts w:hint="eastAsia"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智慧盐湖生态监测与资源预警。</w:t>
            </w:r>
          </w:p>
        </w:tc>
        <w:tc>
          <w:tcPr>
            <w:tcW w:w="3873" w:type="dxa"/>
            <w:tcBorders>
              <w:top w:val="nil"/>
              <w:left w:val="nil"/>
              <w:bottom w:val="single" w:color="auto" w:sz="4" w:space="0"/>
              <w:right w:val="single" w:color="auto" w:sz="4" w:space="0"/>
            </w:tcBorders>
            <w:tcMar>
              <w:top w:w="15" w:type="dxa"/>
              <w:left w:w="15" w:type="dxa"/>
              <w:bottom w:w="15" w:type="dxa"/>
              <w:right w:w="15" w:type="dxa"/>
            </w:tcMar>
            <w:vAlign w:val="center"/>
          </w:tcPr>
          <w:p w14:paraId="685766B7">
            <w:pPr>
              <w:widowControl/>
              <w:spacing w:line="270" w:lineRule="exact"/>
              <w:jc w:val="both"/>
              <w:rPr>
                <w:rFonts w:hint="eastAsia"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运用卫星遥感开展盐湖水域面积、盐度变化、卤虫带分布遥感解译，开展卤虫资源量动态评估；依托无人机对其香错等重点盐湖实施常态化巡护巡检；布设物联网盐湖地面传感器，实时采集湖水盐度、水温、PH值、气象等环境数据；搭建高原卤虫资源大数据管理平台，归集资源调查、生态阈值、捕捞配额管控数据，支撑“以水定产”，实现资源开发与盐湖生态保护协同管控。</w:t>
            </w:r>
          </w:p>
        </w:tc>
      </w:tr>
      <w:tr w14:paraId="2F43F2C0">
        <w:tblPrEx>
          <w:tblCellMar>
            <w:top w:w="0" w:type="dxa"/>
            <w:left w:w="108" w:type="dxa"/>
            <w:bottom w:w="0" w:type="dxa"/>
            <w:right w:w="108" w:type="dxa"/>
          </w:tblCellMar>
        </w:tblPrEx>
        <w:trPr>
          <w:trHeight w:val="90" w:hRule="atLeast"/>
          <w:tblCellSpacing w:w="15" w:type="dxa"/>
        </w:trPr>
        <w:tc>
          <w:tcPr>
            <w:tcW w:w="2403" w:type="dxa"/>
            <w:tcBorders>
              <w:top w:val="nil"/>
              <w:left w:val="single" w:color="auto" w:sz="4" w:space="0"/>
              <w:bottom w:val="single" w:color="auto" w:sz="4" w:space="0"/>
              <w:right w:val="single" w:color="auto" w:sz="4" w:space="0"/>
            </w:tcBorders>
            <w:tcMar>
              <w:top w:w="15" w:type="dxa"/>
              <w:left w:w="15" w:type="dxa"/>
              <w:bottom w:w="15" w:type="dxa"/>
              <w:right w:w="15" w:type="dxa"/>
            </w:tcMar>
            <w:vAlign w:val="center"/>
          </w:tcPr>
          <w:p w14:paraId="023F061E">
            <w:pPr>
              <w:widowControl/>
              <w:spacing w:line="270" w:lineRule="exact"/>
              <w:jc w:val="both"/>
              <w:rPr>
                <w:rFonts w:hint="eastAsia"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高海拔环境加工设备适配性不足，运维成本高，卵质分选、孵化率检测依靠人工，精深加工技术储备不足，高附加值产品开发能力受限，产品品质标准化管控水平有待提升。</w:t>
            </w:r>
          </w:p>
        </w:tc>
        <w:tc>
          <w:tcPr>
            <w:tcW w:w="2439" w:type="dxa"/>
            <w:tcBorders>
              <w:top w:val="nil"/>
              <w:left w:val="nil"/>
              <w:bottom w:val="single" w:color="auto" w:sz="4" w:space="0"/>
              <w:right w:val="single" w:color="auto" w:sz="4" w:space="0"/>
            </w:tcBorders>
            <w:tcMar>
              <w:top w:w="15" w:type="dxa"/>
              <w:left w:w="15" w:type="dxa"/>
              <w:bottom w:w="15" w:type="dxa"/>
              <w:right w:w="15" w:type="dxa"/>
            </w:tcMar>
            <w:vAlign w:val="center"/>
          </w:tcPr>
          <w:p w14:paraId="46DA5DFA">
            <w:pPr>
              <w:widowControl/>
              <w:spacing w:line="270" w:lineRule="exact"/>
              <w:jc w:val="both"/>
              <w:rPr>
                <w:rFonts w:hint="eastAsia"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全链条溯源赋能与价值链升级。</w:t>
            </w:r>
          </w:p>
        </w:tc>
        <w:tc>
          <w:tcPr>
            <w:tcW w:w="3873" w:type="dxa"/>
            <w:tcBorders>
              <w:top w:val="nil"/>
              <w:left w:val="nil"/>
              <w:bottom w:val="single" w:color="auto" w:sz="4" w:space="0"/>
              <w:right w:val="single" w:color="auto" w:sz="4" w:space="0"/>
            </w:tcBorders>
            <w:tcMar>
              <w:top w:w="15" w:type="dxa"/>
              <w:left w:w="15" w:type="dxa"/>
              <w:bottom w:w="15" w:type="dxa"/>
              <w:right w:w="15" w:type="dxa"/>
            </w:tcMar>
            <w:vAlign w:val="center"/>
          </w:tcPr>
          <w:p w14:paraId="425418B0">
            <w:pPr>
              <w:widowControl/>
              <w:spacing w:line="270" w:lineRule="exact"/>
              <w:jc w:val="both"/>
              <w:rPr>
                <w:rFonts w:hint="eastAsia"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归集盐湖采收环境、捕捞配额、加工检测、仓储冷链、市场流通全流程原始数据；搭建卤虫卵产品溯源数据库，配置批次二维码溯源载体，打通生产端与采购消费端查询端口；对接高原冷链物流信息系统，实现产品仓储温控、干线运输全程数据留痕；依托溯源数据挖掘放大“极地海金沙”产地IP，赋能高端水产育苗饵料、宠物饲料、功能原料等高附加值产品差异化开发，释放品牌增值空间。</w:t>
            </w:r>
          </w:p>
        </w:tc>
      </w:tr>
      <w:tr w14:paraId="279EB309">
        <w:tblPrEx>
          <w:tblCellMar>
            <w:top w:w="0" w:type="dxa"/>
            <w:left w:w="108" w:type="dxa"/>
            <w:bottom w:w="0" w:type="dxa"/>
            <w:right w:w="108" w:type="dxa"/>
          </w:tblCellMar>
        </w:tblPrEx>
        <w:trPr>
          <w:trHeight w:val="5442" w:hRule="atLeast"/>
          <w:tblCellSpacing w:w="15" w:type="dxa"/>
        </w:trPr>
        <w:tc>
          <w:tcPr>
            <w:tcW w:w="2403" w:type="dxa"/>
            <w:tcBorders>
              <w:top w:val="nil"/>
              <w:left w:val="single" w:color="auto" w:sz="4" w:space="0"/>
              <w:bottom w:val="single" w:color="auto" w:sz="4" w:space="0"/>
              <w:right w:val="single" w:color="auto" w:sz="4" w:space="0"/>
            </w:tcBorders>
            <w:tcMar>
              <w:top w:w="15" w:type="dxa"/>
              <w:left w:w="15" w:type="dxa"/>
              <w:bottom w:w="15" w:type="dxa"/>
              <w:right w:w="15" w:type="dxa"/>
            </w:tcMar>
            <w:vAlign w:val="center"/>
          </w:tcPr>
          <w:p w14:paraId="5CC48F48">
            <w:pPr>
              <w:widowControl/>
              <w:spacing w:line="270" w:lineRule="exact"/>
              <w:jc w:val="both"/>
              <w:rPr>
                <w:rFonts w:hint="eastAsia"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采收、加工、仓储物流各环节数据割裂，产品产地优势难以显性化，冷链物流管控手段不足，品牌标准化建设滞后，产品市场辨识度不高，资源价值未能充分转化为品牌溢价。</w:t>
            </w:r>
          </w:p>
        </w:tc>
        <w:tc>
          <w:tcPr>
            <w:tcW w:w="2439" w:type="dxa"/>
            <w:tcBorders>
              <w:top w:val="nil"/>
              <w:left w:val="nil"/>
              <w:bottom w:val="single" w:color="auto" w:sz="4" w:space="0"/>
              <w:right w:val="single" w:color="auto" w:sz="4" w:space="0"/>
            </w:tcBorders>
            <w:tcMar>
              <w:top w:w="15" w:type="dxa"/>
              <w:left w:w="15" w:type="dxa"/>
              <w:bottom w:w="15" w:type="dxa"/>
              <w:right w:w="15" w:type="dxa"/>
            </w:tcMar>
            <w:vAlign w:val="center"/>
          </w:tcPr>
          <w:p w14:paraId="7BB9ADB2">
            <w:pPr>
              <w:widowControl/>
              <w:spacing w:line="270" w:lineRule="exact"/>
              <w:jc w:val="both"/>
              <w:rPr>
                <w:rFonts w:hint="eastAsia"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全链条溯源赋能与价值链升级。</w:t>
            </w:r>
          </w:p>
        </w:tc>
        <w:tc>
          <w:tcPr>
            <w:tcW w:w="3873" w:type="dxa"/>
            <w:tcBorders>
              <w:top w:val="nil"/>
              <w:left w:val="nil"/>
              <w:bottom w:val="single" w:color="auto" w:sz="4" w:space="0"/>
              <w:right w:val="single" w:color="auto" w:sz="4" w:space="0"/>
            </w:tcBorders>
            <w:tcMar>
              <w:top w:w="15" w:type="dxa"/>
              <w:left w:w="15" w:type="dxa"/>
              <w:bottom w:w="15" w:type="dxa"/>
              <w:right w:w="15" w:type="dxa"/>
            </w:tcMar>
            <w:vAlign w:val="center"/>
          </w:tcPr>
          <w:p w14:paraId="1D497F20">
            <w:pPr>
              <w:widowControl/>
              <w:spacing w:line="270" w:lineRule="exact"/>
              <w:jc w:val="both"/>
              <w:rPr>
                <w:rFonts w:hint="eastAsia"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归集盐湖采收环境、捕捞配额、加工检测、仓储冷链、市场流通全流程原始数据；搭建卤虫卵产品溯源数据库，配置批次二维码溯源载体，打通生产端与采购消费端查询端口；对接高原冷链物流信息系统，实现产品仓储温控、干线运输全程数据留痕；依托溯源数据挖掘放大“极地海金沙”产地IP，赋能高端水产育苗饵料、宠物饲料、功能原料等高附加值产品差异化开发，释放品牌增值空间。</w:t>
            </w:r>
          </w:p>
        </w:tc>
      </w:tr>
      <w:bookmarkEnd w:id="444"/>
      <w:bookmarkEnd w:id="445"/>
    </w:tbl>
    <w:p w14:paraId="0E4733E5">
      <w:pPr>
        <w:spacing w:line="576" w:lineRule="exact"/>
        <w:ind w:firstLine="643" w:firstLineChars="200"/>
        <w:jc w:val="both"/>
        <w:rPr>
          <w:rFonts w:ascii="Times New Roman" w:hAnsi="Times New Roman" w:eastAsia="方正仿宋简体" w:cs="方正仿宋简体"/>
          <w:bCs/>
          <w:sz w:val="32"/>
          <w:szCs w:val="28"/>
          <w:lang w:eastAsia="zh-CN"/>
        </w:rPr>
      </w:pPr>
      <w:r>
        <w:rPr>
          <w:rFonts w:ascii="Times New Roman" w:hAnsi="Times New Roman" w:eastAsia="方正仿宋简体" w:cs="方正仿宋简体"/>
          <w:b/>
          <w:sz w:val="32"/>
          <w:szCs w:val="28"/>
          <w:lang w:eastAsia="zh-CN"/>
        </w:rPr>
        <w:t>驱动效果：</w:t>
      </w:r>
      <w:r>
        <w:rPr>
          <w:rFonts w:ascii="Times New Roman" w:hAnsi="Times New Roman" w:eastAsia="方正仿宋简体" w:cs="方正仿宋简体"/>
          <w:bCs/>
          <w:sz w:val="32"/>
          <w:szCs w:val="28"/>
          <w:lang w:eastAsia="zh-CN"/>
        </w:rPr>
        <w:t>提升盐湖生态与卤虫资源科学管控能力，为生态配额捕捞提供技术支撑；破解高海拔加工运维痛点，提升产品品质与加工效率；依托全链条溯源强化极地原产地产品辨识度，补齐冷链数字化管控短板，延伸产业价值链，降低综合运营成本，充分释放稀缺资源禀赋价值，持续巩固产业富民增收成效，夯实高原特色生物产业新增长极的技术根基。</w:t>
      </w:r>
    </w:p>
    <w:bookmarkEnd w:id="439"/>
    <w:p w14:paraId="5C9E8094">
      <w:pPr>
        <w:pStyle w:val="8"/>
        <w:overflowPunct w:val="0"/>
        <w:topLinePunct/>
        <w:autoSpaceDE/>
        <w:autoSpaceDN/>
        <w:spacing w:before="0" w:line="576" w:lineRule="exact"/>
        <w:ind w:left="0" w:firstLine="640" w:firstLineChars="200"/>
        <w:jc w:val="both"/>
        <w:outlineLvl w:val="1"/>
        <w:rPr>
          <w:rFonts w:ascii="Times New Roman" w:hAnsi="Times New Roman" w:eastAsia="方正楷体简体" w:cs="方正楷体简体"/>
          <w:sz w:val="32"/>
          <w:szCs w:val="32"/>
          <w:lang w:eastAsia="zh-CN"/>
        </w:rPr>
      </w:pPr>
      <w:bookmarkStart w:id="446" w:name="_Toc243241560"/>
      <w:bookmarkStart w:id="447" w:name="OLE_LINK97"/>
      <w:r>
        <w:rPr>
          <w:rFonts w:hint="eastAsia" w:ascii="Times New Roman" w:hAnsi="Times New Roman" w:eastAsia="方正楷体简体" w:cs="方正楷体简体"/>
          <w:sz w:val="32"/>
          <w:szCs w:val="32"/>
        </w:rPr>
        <w:t>（十一）低空经济</w:t>
      </w:r>
      <w:bookmarkEnd w:id="446"/>
    </w:p>
    <w:bookmarkEnd w:id="447"/>
    <w:p w14:paraId="47B783EF">
      <w:pPr>
        <w:spacing w:line="576" w:lineRule="exact"/>
        <w:ind w:firstLine="640" w:firstLineChars="200"/>
        <w:jc w:val="both"/>
        <w:rPr>
          <w:rFonts w:hint="eastAsia" w:ascii="方正仿宋简体" w:hAnsi="方正仿宋简体" w:eastAsia="方正仿宋简体" w:cs="方正仿宋简体"/>
          <w:bCs/>
          <w:sz w:val="32"/>
          <w:szCs w:val="28"/>
          <w:lang w:val="en-US" w:eastAsia="zh-CN"/>
        </w:rPr>
      </w:pPr>
      <w:r>
        <w:rPr>
          <w:rFonts w:hint="eastAsia" w:ascii="方正仿宋简体" w:hAnsi="方正仿宋简体" w:eastAsia="方正仿宋简体" w:cs="方正仿宋简体"/>
          <w:bCs/>
          <w:sz w:val="32"/>
          <w:szCs w:val="28"/>
          <w:lang w:eastAsia="zh-CN"/>
        </w:rPr>
        <w:t>低空经济的技术驱动趋势是：从“试点示范应用”到“高原智空产业”，这是破解高海拔复杂环境运行制约、释放边疆低空场景价值的重要抓手，也是那曲培育新质生产力、打造新兴战略产业的核心技术支撑。</w:t>
      </w:r>
    </w:p>
    <w:p w14:paraId="664D3D51">
      <w:pPr>
        <w:spacing w:line="576" w:lineRule="exact"/>
        <w:ind w:firstLine="643" w:firstLineChars="200"/>
        <w:jc w:val="center"/>
        <w:rPr>
          <w:rFonts w:ascii="Times New Roman" w:hAnsi="Times New Roman" w:eastAsia="方正仿宋简体" w:cs="方正仿宋简体"/>
          <w:b/>
          <w:bCs/>
          <w:sz w:val="32"/>
          <w:szCs w:val="28"/>
          <w:lang w:eastAsia="zh-CN"/>
        </w:rPr>
      </w:pPr>
      <w:bookmarkStart w:id="448" w:name="OLE_LINK243"/>
      <w:r>
        <w:rPr>
          <w:rFonts w:hint="eastAsia" w:ascii="Times New Roman" w:hAnsi="Times New Roman" w:eastAsia="方正仿宋简体" w:cs="方正仿宋简体"/>
          <w:b/>
          <w:bCs/>
          <w:sz w:val="32"/>
          <w:szCs w:val="28"/>
          <w:lang w:eastAsia="zh-CN"/>
        </w:rPr>
        <w:t>那曲市低空经济技术驱动趋势</w:t>
      </w:r>
    </w:p>
    <w:tbl>
      <w:tblPr>
        <w:tblStyle w:val="21"/>
        <w:tblW w:w="0" w:type="auto"/>
        <w:tblCellSpacing w:w="15" w:type="dxa"/>
        <w:tblInd w:w="0" w:type="dxa"/>
        <w:tblLayout w:type="autofit"/>
        <w:tblCellMar>
          <w:top w:w="0" w:type="dxa"/>
          <w:left w:w="108" w:type="dxa"/>
          <w:bottom w:w="0" w:type="dxa"/>
          <w:right w:w="108" w:type="dxa"/>
        </w:tblCellMar>
      </w:tblPr>
      <w:tblGrid>
        <w:gridCol w:w="2448"/>
        <w:gridCol w:w="2513"/>
        <w:gridCol w:w="3874"/>
      </w:tblGrid>
      <w:tr w14:paraId="337B6ED1">
        <w:tblPrEx>
          <w:tblCellMar>
            <w:top w:w="0" w:type="dxa"/>
            <w:left w:w="108" w:type="dxa"/>
            <w:bottom w:w="0" w:type="dxa"/>
            <w:right w:w="108" w:type="dxa"/>
          </w:tblCellMar>
        </w:tblPrEx>
        <w:trPr>
          <w:trHeight w:val="804" w:hRule="atLeast"/>
          <w:tblHeader/>
          <w:tblCellSpacing w:w="15" w:type="dxa"/>
        </w:trPr>
        <w:tc>
          <w:tcPr>
            <w:tcW w:w="2403"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3C362FEE">
            <w:pPr>
              <w:spacing w:line="352"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产业现状与瓶颈</w:t>
            </w:r>
          </w:p>
        </w:tc>
        <w:tc>
          <w:tcPr>
            <w:tcW w:w="2483" w:type="dxa"/>
            <w:tcBorders>
              <w:top w:val="single" w:color="auto" w:sz="4" w:space="0"/>
              <w:left w:val="nil"/>
              <w:bottom w:val="single" w:color="auto" w:sz="4" w:space="0"/>
              <w:right w:val="single" w:color="auto" w:sz="4" w:space="0"/>
            </w:tcBorders>
            <w:tcMar>
              <w:top w:w="15" w:type="dxa"/>
              <w:left w:w="15" w:type="dxa"/>
              <w:bottom w:w="15" w:type="dxa"/>
              <w:right w:w="15" w:type="dxa"/>
            </w:tcMar>
            <w:vAlign w:val="center"/>
          </w:tcPr>
          <w:p w14:paraId="08D0282A">
            <w:pPr>
              <w:spacing w:line="352"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技术创新驱动趋势</w:t>
            </w:r>
          </w:p>
        </w:tc>
        <w:tc>
          <w:tcPr>
            <w:tcW w:w="3829" w:type="dxa"/>
            <w:tcBorders>
              <w:top w:val="single" w:color="auto" w:sz="4" w:space="0"/>
              <w:left w:val="nil"/>
              <w:bottom w:val="single" w:color="auto" w:sz="4" w:space="0"/>
              <w:right w:val="single" w:color="auto" w:sz="4" w:space="0"/>
            </w:tcBorders>
            <w:tcMar>
              <w:top w:w="15" w:type="dxa"/>
              <w:left w:w="15" w:type="dxa"/>
              <w:bottom w:w="15" w:type="dxa"/>
              <w:right w:w="15" w:type="dxa"/>
            </w:tcMar>
            <w:vAlign w:val="center"/>
          </w:tcPr>
          <w:p w14:paraId="34A18516">
            <w:pPr>
              <w:spacing w:line="352"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具体技术与应用</w:t>
            </w:r>
          </w:p>
        </w:tc>
      </w:tr>
      <w:tr w14:paraId="4CD6011C">
        <w:tblPrEx>
          <w:tblCellMar>
            <w:top w:w="0" w:type="dxa"/>
            <w:left w:w="108" w:type="dxa"/>
            <w:bottom w:w="0" w:type="dxa"/>
            <w:right w:w="108" w:type="dxa"/>
          </w:tblCellMar>
        </w:tblPrEx>
        <w:trPr>
          <w:trHeight w:val="1240" w:hRule="atLeast"/>
          <w:tblCellSpacing w:w="15" w:type="dxa"/>
        </w:trPr>
        <w:tc>
          <w:tcPr>
            <w:tcW w:w="2403" w:type="dxa"/>
            <w:tcBorders>
              <w:top w:val="nil"/>
              <w:left w:val="single" w:color="auto" w:sz="4" w:space="0"/>
              <w:bottom w:val="single" w:color="auto" w:sz="4" w:space="0"/>
              <w:right w:val="single" w:color="auto" w:sz="4" w:space="0"/>
            </w:tcBorders>
            <w:tcMar>
              <w:top w:w="15" w:type="dxa"/>
              <w:left w:w="15" w:type="dxa"/>
              <w:bottom w:w="15" w:type="dxa"/>
              <w:right w:w="15" w:type="dxa"/>
            </w:tcMar>
            <w:vAlign w:val="center"/>
          </w:tcPr>
          <w:p w14:paraId="215708E4">
            <w:pPr>
              <w:widowControl/>
              <w:spacing w:line="270" w:lineRule="exact"/>
              <w:jc w:val="both"/>
              <w:rPr>
                <w:rFonts w:ascii="Times New Roman" w:hAnsi="Times New Roman" w:eastAsia="方正仿宋简体" w:cs="方正仿宋简体"/>
                <w:bCs/>
                <w:sz w:val="21"/>
                <w:szCs w:val="21"/>
                <w:lang w:eastAsia="zh-CN"/>
              </w:rPr>
            </w:pPr>
            <w:bookmarkStart w:id="449" w:name="_Hlk240623562"/>
            <w:r>
              <w:rPr>
                <w:rFonts w:ascii="Times New Roman" w:hAnsi="Times New Roman" w:eastAsia="方正仿宋简体" w:cs="方正仿宋简体"/>
                <w:bCs/>
                <w:sz w:val="21"/>
                <w:szCs w:val="21"/>
                <w:lang w:eastAsia="zh-CN"/>
              </w:rPr>
              <w:t>市域地域辽阔、地形复杂，低压低温大风等极端气象多发；偏远区域通信信号薄弱，传统空域监管手段难以全域覆盖；生态管护、边防巡查、灾害应急任务繁重，人工巡检效率低、存在大量管控盲区。</w:t>
            </w:r>
          </w:p>
        </w:tc>
        <w:tc>
          <w:tcPr>
            <w:tcW w:w="2483" w:type="dxa"/>
            <w:tcBorders>
              <w:top w:val="nil"/>
              <w:left w:val="nil"/>
              <w:bottom w:val="single" w:color="auto" w:sz="4" w:space="0"/>
              <w:right w:val="single" w:color="auto" w:sz="4" w:space="0"/>
            </w:tcBorders>
            <w:tcMar>
              <w:top w:w="15" w:type="dxa"/>
              <w:left w:w="15" w:type="dxa"/>
              <w:bottom w:w="15" w:type="dxa"/>
              <w:right w:w="15" w:type="dxa"/>
            </w:tcMar>
            <w:vAlign w:val="center"/>
          </w:tcPr>
          <w:p w14:paraId="22FCD8D0">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空天地一体化智慧管控与全域预警调度。</w:t>
            </w:r>
          </w:p>
        </w:tc>
        <w:tc>
          <w:tcPr>
            <w:tcW w:w="3829" w:type="dxa"/>
            <w:tcBorders>
              <w:top w:val="nil"/>
              <w:left w:val="nil"/>
              <w:bottom w:val="single" w:color="auto" w:sz="4" w:space="0"/>
              <w:right w:val="single" w:color="auto" w:sz="4" w:space="0"/>
            </w:tcBorders>
            <w:tcMar>
              <w:top w:w="15" w:type="dxa"/>
              <w:left w:w="15" w:type="dxa"/>
              <w:bottom w:w="15" w:type="dxa"/>
              <w:right w:w="15" w:type="dxa"/>
            </w:tcMar>
            <w:vAlign w:val="center"/>
          </w:tcPr>
          <w:p w14:paraId="59167010">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运用北斗高精度定位、5G+卫星通感一体化技术，补齐高原远距离通信短板；依托无人机、浮空平台开展全域草场、冰川、野生动物、边境线常态化空中巡护；布设分布式地面感知终端，采集气象、空域环境基础数据；搭建那曲高原低空智能管控大数据平台，集成飞行调度、态势监测、风险预警、应急指挥模块，统筹归集生态保护、边疆管控、灾害应急各类业务数据，实现多任务统一调度、隐患智能识别、预警信息闭环推送。</w:t>
            </w:r>
          </w:p>
        </w:tc>
      </w:tr>
      <w:bookmarkEnd w:id="449"/>
      <w:tr w14:paraId="672D2C03">
        <w:tblPrEx>
          <w:tblCellMar>
            <w:top w:w="0" w:type="dxa"/>
            <w:left w:w="108" w:type="dxa"/>
            <w:bottom w:w="0" w:type="dxa"/>
            <w:right w:w="108" w:type="dxa"/>
          </w:tblCellMar>
        </w:tblPrEx>
        <w:trPr>
          <w:trHeight w:val="940" w:hRule="atLeast"/>
          <w:tblCellSpacing w:w="15" w:type="dxa"/>
        </w:trPr>
        <w:tc>
          <w:tcPr>
            <w:tcW w:w="2403" w:type="dxa"/>
            <w:tcBorders>
              <w:top w:val="nil"/>
              <w:left w:val="single" w:color="auto" w:sz="4" w:space="0"/>
              <w:bottom w:val="single" w:color="auto" w:sz="4" w:space="0"/>
              <w:right w:val="single" w:color="auto" w:sz="4" w:space="0"/>
            </w:tcBorders>
            <w:tcMar>
              <w:top w:w="15" w:type="dxa"/>
              <w:left w:w="15" w:type="dxa"/>
              <w:bottom w:w="15" w:type="dxa"/>
              <w:right w:w="15" w:type="dxa"/>
            </w:tcMar>
            <w:vAlign w:val="center"/>
          </w:tcPr>
          <w:p w14:paraId="48F56D35">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高原低压低温大风工况对航空器动力、储能、热管理提出严苛要求，通用机型动力衰减明显、运维难度大；高原适配装备供给不足，高海拔机型测试验证条件有待充分利用；缺乏适配本地的运行运维标准，常态化物流、应急作业装备体系尚未成型。</w:t>
            </w:r>
          </w:p>
        </w:tc>
        <w:tc>
          <w:tcPr>
            <w:tcW w:w="2483" w:type="dxa"/>
            <w:tcBorders>
              <w:top w:val="nil"/>
              <w:left w:val="nil"/>
              <w:bottom w:val="single" w:color="auto" w:sz="4" w:space="0"/>
              <w:right w:val="single" w:color="auto" w:sz="4" w:space="0"/>
            </w:tcBorders>
            <w:tcMar>
              <w:top w:w="15" w:type="dxa"/>
              <w:left w:w="15" w:type="dxa"/>
              <w:bottom w:w="15" w:type="dxa"/>
              <w:right w:w="15" w:type="dxa"/>
            </w:tcMar>
            <w:vAlign w:val="center"/>
          </w:tcPr>
          <w:p w14:paraId="0A6B6286">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高海拔航空器数字化适配与智能运维。</w:t>
            </w:r>
          </w:p>
        </w:tc>
        <w:tc>
          <w:tcPr>
            <w:tcW w:w="3829" w:type="dxa"/>
            <w:tcBorders>
              <w:top w:val="nil"/>
              <w:left w:val="nil"/>
              <w:bottom w:val="single" w:color="auto" w:sz="4" w:space="0"/>
              <w:right w:val="single" w:color="auto" w:sz="4" w:space="0"/>
            </w:tcBorders>
            <w:tcMar>
              <w:top w:w="15" w:type="dxa"/>
              <w:left w:w="15" w:type="dxa"/>
              <w:bottom w:w="15" w:type="dxa"/>
              <w:right w:w="15" w:type="dxa"/>
            </w:tcMar>
            <w:vAlign w:val="center"/>
          </w:tcPr>
          <w:p w14:paraId="54AF611B">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依托那曲天然高原测试场优势，联合科研机构、航空企业开展高原无人机动力系统、低温储能、抗乱流飞控系统技术攻关；迭代优化适配4500米以上海拔的重载运输、长时巡检、应急投送航空器装备；搭建装备远程健康诊断运维平台，实现飞行器故障预判、远程调试，降低现场维保人力成本；积累高原试飞实测数据，探索构建高原机型运行、维护、作业的地方技术标准体系，支撑装备规模化示范应用。</w:t>
            </w:r>
          </w:p>
        </w:tc>
      </w:tr>
      <w:tr w14:paraId="79678B58">
        <w:tblPrEx>
          <w:tblCellMar>
            <w:top w:w="0" w:type="dxa"/>
            <w:left w:w="108" w:type="dxa"/>
            <w:bottom w:w="0" w:type="dxa"/>
            <w:right w:w="108" w:type="dxa"/>
          </w:tblCellMar>
        </w:tblPrEx>
        <w:trPr>
          <w:trHeight w:val="900" w:hRule="atLeast"/>
          <w:tblCellSpacing w:w="15" w:type="dxa"/>
        </w:trPr>
        <w:tc>
          <w:tcPr>
            <w:tcW w:w="2403" w:type="dxa"/>
            <w:tcBorders>
              <w:top w:val="nil"/>
              <w:left w:val="single" w:color="auto" w:sz="4" w:space="0"/>
              <w:bottom w:val="single" w:color="auto" w:sz="4" w:space="0"/>
              <w:right w:val="single" w:color="auto" w:sz="4" w:space="0"/>
            </w:tcBorders>
            <w:tcMar>
              <w:top w:w="15" w:type="dxa"/>
              <w:left w:w="15" w:type="dxa"/>
              <w:bottom w:w="15" w:type="dxa"/>
              <w:right w:w="15" w:type="dxa"/>
            </w:tcMar>
            <w:vAlign w:val="center"/>
          </w:tcPr>
          <w:p w14:paraId="4AFE5BCF">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低空与畜牧、文旅、饮用水、清洁能源</w:t>
            </w:r>
            <w:r>
              <w:rPr>
                <w:rFonts w:hint="eastAsia" w:ascii="Times New Roman" w:hAnsi="Times New Roman" w:eastAsia="方正仿宋简体" w:cs="方正仿宋简体"/>
                <w:bCs/>
                <w:sz w:val="21"/>
                <w:szCs w:val="21"/>
                <w:lang w:eastAsia="zh-CN"/>
              </w:rPr>
              <w:t>、交通物流产业</w:t>
            </w:r>
            <w:r>
              <w:rPr>
                <w:rFonts w:ascii="Times New Roman" w:hAnsi="Times New Roman" w:eastAsia="方正仿宋简体" w:cs="方正仿宋简体"/>
                <w:bCs/>
                <w:sz w:val="21"/>
                <w:szCs w:val="21"/>
                <w:lang w:eastAsia="zh-CN"/>
              </w:rPr>
              <w:t>等产业的数据相互割裂，“低空+”场景融合深度不足；生产、作业、物流各环节缺少数字化串联，场景价值未能充分挖掘，产业增值和富民效应有待进一步释放。</w:t>
            </w:r>
          </w:p>
        </w:tc>
        <w:tc>
          <w:tcPr>
            <w:tcW w:w="2483" w:type="dxa"/>
            <w:tcBorders>
              <w:top w:val="nil"/>
              <w:left w:val="nil"/>
              <w:bottom w:val="single" w:color="auto" w:sz="4" w:space="0"/>
              <w:right w:val="single" w:color="auto" w:sz="4" w:space="0"/>
            </w:tcBorders>
            <w:tcMar>
              <w:top w:w="15" w:type="dxa"/>
              <w:left w:w="15" w:type="dxa"/>
              <w:bottom w:w="15" w:type="dxa"/>
              <w:right w:w="15" w:type="dxa"/>
            </w:tcMar>
            <w:vAlign w:val="center"/>
          </w:tcPr>
          <w:p w14:paraId="1B15038C">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多场景数据融合赋能与全链条价值升级。</w:t>
            </w:r>
          </w:p>
        </w:tc>
        <w:tc>
          <w:tcPr>
            <w:tcW w:w="3829" w:type="dxa"/>
            <w:tcBorders>
              <w:top w:val="nil"/>
              <w:left w:val="nil"/>
              <w:bottom w:val="single" w:color="auto" w:sz="4" w:space="0"/>
              <w:right w:val="single" w:color="auto" w:sz="4" w:space="0"/>
            </w:tcBorders>
            <w:tcMar>
              <w:top w:w="15" w:type="dxa"/>
              <w:left w:w="15" w:type="dxa"/>
              <w:bottom w:w="15" w:type="dxa"/>
              <w:right w:w="15" w:type="dxa"/>
            </w:tcMar>
            <w:vAlign w:val="center"/>
          </w:tcPr>
          <w:p w14:paraId="1035C231">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归集低空巡检、物资投送、空中观光、应急救援全流程作业原始数据；打通低空平台与智慧牧业、水源地监测、文旅运营、光伏风电运维、交通物流产业业务系统的数据接口；依托低空获取的遥感、影像、定位数据，赋能牲畜管护、水源生态评估、冰川研学、高原低空支线物流、农牧产品双向流通、零碳低空示范等新业态开发，构建“低空+地面”多式联运体系；探索构建低空作业服务台账数据库，联动“公司+合作社+牧户”运营模式，拓展无人机操控、场站运维等数字化岗位，放大低空技术对特色产业的赋能带动效应。</w:t>
            </w:r>
          </w:p>
        </w:tc>
      </w:tr>
      <w:bookmarkEnd w:id="448"/>
    </w:tbl>
    <w:p w14:paraId="14599BFE">
      <w:pPr>
        <w:spacing w:line="576" w:lineRule="exact"/>
        <w:ind w:firstLine="643" w:firstLineChars="200"/>
        <w:jc w:val="both"/>
        <w:rPr>
          <w:rFonts w:hint="eastAsia" w:ascii="方正仿宋简体" w:hAnsi="方正仿宋简体" w:eastAsia="方正仿宋简体" w:cs="方正仿宋简体"/>
          <w:bCs/>
          <w:sz w:val="32"/>
          <w:szCs w:val="28"/>
          <w:lang w:val="en-US" w:eastAsia="zh-CN"/>
        </w:rPr>
      </w:pPr>
      <w:r>
        <w:rPr>
          <w:rFonts w:hint="eastAsia" w:ascii="方正仿宋简体" w:hAnsi="方正仿宋简体" w:eastAsia="方正仿宋简体" w:cs="方正仿宋简体"/>
          <w:b/>
          <w:sz w:val="32"/>
          <w:szCs w:val="28"/>
          <w:lang w:eastAsia="zh-CN"/>
        </w:rPr>
        <w:t>驱动效果：</w:t>
      </w:r>
      <w:r>
        <w:rPr>
          <w:rFonts w:hint="eastAsia" w:ascii="方正仿宋简体" w:hAnsi="方正仿宋简体" w:eastAsia="方正仿宋简体" w:cs="方正仿宋简体"/>
          <w:bCs/>
          <w:sz w:val="32"/>
          <w:szCs w:val="28"/>
          <w:lang w:eastAsia="zh-CN"/>
        </w:rPr>
        <w:t>补齐高原空域监管、应急处置技术短板，提升生态保护、边疆治理智能化水平；破解航空器高海拔运行技术痛点，夯实高原装备测试验证与标准创制基础；打通跨产业数据壁垒，深化“低空+”多业态融合应用，完善空</w:t>
      </w:r>
      <w:r>
        <w:rPr>
          <w:rFonts w:hint="eastAsia" w:ascii="方正仿宋简体" w:hAnsi="方正仿宋简体" w:eastAsia="方正仿宋简体" w:cs="方正仿宋简体"/>
          <w:bCs/>
          <w:sz w:val="32"/>
          <w:szCs w:val="28"/>
          <w:lang w:eastAsia="zh-CN"/>
        </w:rPr>
        <w:noBreakHyphen/>
      </w:r>
      <w:r>
        <w:rPr>
          <w:rFonts w:hint="eastAsia" w:ascii="方正仿宋简体" w:hAnsi="方正仿宋简体" w:eastAsia="方正仿宋简体" w:cs="方正仿宋简体"/>
          <w:bCs/>
          <w:sz w:val="32"/>
          <w:szCs w:val="28"/>
          <w:lang w:eastAsia="zh-CN"/>
        </w:rPr>
        <w:t>地多式联运模式，降低高原物资流通、管护巡检综合成本，培育本土低空技术技能人才，拓宽群众增收渠道，为低空经济从试点示范向新兴战略产业稳步演进筑牢技术底座。</w:t>
      </w:r>
    </w:p>
    <w:p w14:paraId="4CC21DD7">
      <w:pPr>
        <w:pStyle w:val="8"/>
        <w:overflowPunct w:val="0"/>
        <w:topLinePunct/>
        <w:autoSpaceDE/>
        <w:autoSpaceDN/>
        <w:spacing w:before="0" w:line="576" w:lineRule="exact"/>
        <w:ind w:left="0" w:firstLine="640" w:firstLineChars="200"/>
        <w:jc w:val="both"/>
        <w:outlineLvl w:val="1"/>
        <w:rPr>
          <w:rFonts w:ascii="Times New Roman" w:hAnsi="Times New Roman" w:eastAsia="方正楷体简体" w:cs="方正楷体简体"/>
          <w:sz w:val="32"/>
          <w:szCs w:val="32"/>
          <w:lang w:eastAsia="zh-CN"/>
        </w:rPr>
      </w:pPr>
      <w:bookmarkStart w:id="450" w:name="_Toc243241561"/>
      <w:r>
        <w:rPr>
          <w:rFonts w:hint="eastAsia" w:ascii="Times New Roman" w:hAnsi="Times New Roman" w:eastAsia="方正楷体简体" w:cs="方正楷体简体"/>
          <w:sz w:val="32"/>
          <w:szCs w:val="32"/>
        </w:rPr>
        <w:t>（十二）算力经济</w:t>
      </w:r>
      <w:bookmarkEnd w:id="450"/>
    </w:p>
    <w:bookmarkEnd w:id="440"/>
    <w:p w14:paraId="4DFF8E48">
      <w:pPr>
        <w:spacing w:line="576" w:lineRule="exact"/>
        <w:ind w:firstLine="640" w:firstLineChars="200"/>
        <w:jc w:val="both"/>
        <w:rPr>
          <w:rFonts w:hint="eastAsia" w:ascii="方正仿宋简体" w:hAnsi="方正仿宋简体" w:eastAsia="方正仿宋简体" w:cs="方正仿宋简体"/>
          <w:bCs/>
          <w:sz w:val="32"/>
          <w:szCs w:val="28"/>
          <w:lang w:eastAsia="zh-CN"/>
        </w:rPr>
      </w:pPr>
      <w:r>
        <w:rPr>
          <w:rFonts w:hint="eastAsia" w:ascii="方正仿宋简体" w:hAnsi="方正仿宋简体" w:eastAsia="方正仿宋简体" w:cs="方正仿宋简体"/>
          <w:bCs/>
          <w:sz w:val="32"/>
          <w:szCs w:val="28"/>
          <w:lang w:eastAsia="zh-CN"/>
        </w:rPr>
        <w:t>算力经济的技术驱动趋势是：从“基础设施布局”到“高原绿色智算”，这是充分释放高原冷源与清洁能源禀赋、打通“东数西算”落地应用的关键抓手，也是那曲建设“算力珠峰”特色边缘节点、培育数字领域新质生产力的核心技术支撑。</w:t>
      </w:r>
    </w:p>
    <w:p w14:paraId="60023D71">
      <w:pPr>
        <w:spacing w:line="576" w:lineRule="exact"/>
        <w:ind w:firstLine="643" w:firstLineChars="200"/>
        <w:jc w:val="center"/>
        <w:rPr>
          <w:rFonts w:ascii="Times New Roman" w:hAnsi="Times New Roman" w:eastAsia="方正仿宋简体" w:cs="方正仿宋简体"/>
          <w:b/>
          <w:bCs/>
          <w:sz w:val="32"/>
          <w:szCs w:val="28"/>
          <w:lang w:eastAsia="zh-CN"/>
        </w:rPr>
      </w:pPr>
      <w:r>
        <w:rPr>
          <w:rFonts w:hint="eastAsia" w:ascii="Times New Roman" w:hAnsi="Times New Roman" w:eastAsia="方正仿宋简体" w:cs="方正仿宋简体"/>
          <w:b/>
          <w:bCs/>
          <w:sz w:val="32"/>
          <w:szCs w:val="28"/>
          <w:lang w:eastAsia="zh-CN"/>
        </w:rPr>
        <w:t>那曲市算力经济技术驱动趋势</w:t>
      </w:r>
    </w:p>
    <w:tbl>
      <w:tblPr>
        <w:tblStyle w:val="21"/>
        <w:tblW w:w="0" w:type="auto"/>
        <w:tblCellSpacing w:w="15" w:type="dxa"/>
        <w:tblInd w:w="0" w:type="dxa"/>
        <w:tblLayout w:type="autofit"/>
        <w:tblCellMar>
          <w:top w:w="0" w:type="dxa"/>
          <w:left w:w="108" w:type="dxa"/>
          <w:bottom w:w="0" w:type="dxa"/>
          <w:right w:w="108" w:type="dxa"/>
        </w:tblCellMar>
      </w:tblPr>
      <w:tblGrid>
        <w:gridCol w:w="2448"/>
        <w:gridCol w:w="1550"/>
        <w:gridCol w:w="4837"/>
      </w:tblGrid>
      <w:tr w14:paraId="0EBAAF85">
        <w:tblPrEx>
          <w:tblCellMar>
            <w:top w:w="0" w:type="dxa"/>
            <w:left w:w="108" w:type="dxa"/>
            <w:bottom w:w="0" w:type="dxa"/>
            <w:right w:w="108" w:type="dxa"/>
          </w:tblCellMar>
        </w:tblPrEx>
        <w:trPr>
          <w:trHeight w:val="804" w:hRule="atLeast"/>
          <w:tblHeader/>
          <w:tblCellSpacing w:w="15" w:type="dxa"/>
        </w:trPr>
        <w:tc>
          <w:tcPr>
            <w:tcW w:w="2403"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14:paraId="50FBF75C">
            <w:pPr>
              <w:spacing w:line="352"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产业现状与瓶颈</w:t>
            </w:r>
          </w:p>
        </w:tc>
        <w:tc>
          <w:tcPr>
            <w:tcW w:w="1520" w:type="dxa"/>
            <w:tcBorders>
              <w:top w:val="single" w:color="auto" w:sz="4" w:space="0"/>
              <w:left w:val="nil"/>
              <w:bottom w:val="single" w:color="auto" w:sz="4" w:space="0"/>
              <w:right w:val="single" w:color="auto" w:sz="4" w:space="0"/>
            </w:tcBorders>
            <w:tcMar>
              <w:top w:w="15" w:type="dxa"/>
              <w:left w:w="15" w:type="dxa"/>
              <w:bottom w:w="15" w:type="dxa"/>
              <w:right w:w="15" w:type="dxa"/>
            </w:tcMar>
            <w:vAlign w:val="center"/>
          </w:tcPr>
          <w:p w14:paraId="6D4D600F">
            <w:pPr>
              <w:spacing w:line="352"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技术创新</w:t>
            </w:r>
          </w:p>
          <w:p w14:paraId="4C6AFEE8">
            <w:pPr>
              <w:spacing w:line="352"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驱动趋势</w:t>
            </w:r>
          </w:p>
        </w:tc>
        <w:tc>
          <w:tcPr>
            <w:tcW w:w="4792" w:type="dxa"/>
            <w:tcBorders>
              <w:top w:val="single" w:color="auto" w:sz="4" w:space="0"/>
              <w:left w:val="nil"/>
              <w:bottom w:val="single" w:color="auto" w:sz="4" w:space="0"/>
              <w:right w:val="single" w:color="auto" w:sz="4" w:space="0"/>
            </w:tcBorders>
            <w:tcMar>
              <w:top w:w="15" w:type="dxa"/>
              <w:left w:w="15" w:type="dxa"/>
              <w:bottom w:w="15" w:type="dxa"/>
              <w:right w:w="15" w:type="dxa"/>
            </w:tcMar>
            <w:vAlign w:val="center"/>
          </w:tcPr>
          <w:p w14:paraId="3FC1F401">
            <w:pPr>
              <w:spacing w:line="352"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具体技术与应用</w:t>
            </w:r>
          </w:p>
        </w:tc>
      </w:tr>
      <w:tr w14:paraId="282451DF">
        <w:tblPrEx>
          <w:tblCellMar>
            <w:top w:w="0" w:type="dxa"/>
            <w:left w:w="108" w:type="dxa"/>
            <w:bottom w:w="0" w:type="dxa"/>
            <w:right w:w="108" w:type="dxa"/>
          </w:tblCellMar>
        </w:tblPrEx>
        <w:trPr>
          <w:trHeight w:val="1240" w:hRule="atLeast"/>
          <w:tblCellSpacing w:w="15" w:type="dxa"/>
        </w:trPr>
        <w:tc>
          <w:tcPr>
            <w:tcW w:w="2403" w:type="dxa"/>
            <w:tcBorders>
              <w:top w:val="nil"/>
              <w:left w:val="single" w:color="auto" w:sz="4" w:space="0"/>
              <w:bottom w:val="single" w:color="auto" w:sz="4" w:space="0"/>
              <w:right w:val="single" w:color="auto" w:sz="4" w:space="0"/>
            </w:tcBorders>
            <w:tcMar>
              <w:top w:w="15" w:type="dxa"/>
              <w:left w:w="15" w:type="dxa"/>
              <w:bottom w:w="15" w:type="dxa"/>
              <w:right w:w="15" w:type="dxa"/>
            </w:tcMar>
            <w:vAlign w:val="center"/>
          </w:tcPr>
          <w:p w14:paraId="2AEC3D09">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地处高海拔高寒环境，低气压、大温差对机房设备运行稳定性提出严苛考验；跨区域直连带宽资源不足，算力资源分散，通用算力、智算算力、边缘算力缺少统一调度载体；数据安全、灾备备份体系尚不完善，难以充分承接东部外溢算力与本地多行业计算需求。</w:t>
            </w:r>
          </w:p>
        </w:tc>
        <w:tc>
          <w:tcPr>
            <w:tcW w:w="1520" w:type="dxa"/>
            <w:tcBorders>
              <w:top w:val="nil"/>
              <w:left w:val="nil"/>
              <w:bottom w:val="single" w:color="auto" w:sz="4" w:space="0"/>
              <w:right w:val="single" w:color="auto" w:sz="4" w:space="0"/>
            </w:tcBorders>
            <w:tcMar>
              <w:top w:w="15" w:type="dxa"/>
              <w:left w:w="15" w:type="dxa"/>
              <w:bottom w:w="15" w:type="dxa"/>
              <w:right w:w="15" w:type="dxa"/>
            </w:tcMar>
            <w:vAlign w:val="center"/>
          </w:tcPr>
          <w:p w14:paraId="43EE5331">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算网协同与高原绿色算力智慧调度。</w:t>
            </w:r>
          </w:p>
        </w:tc>
        <w:tc>
          <w:tcPr>
            <w:tcW w:w="4792" w:type="dxa"/>
            <w:tcBorders>
              <w:top w:val="nil"/>
              <w:left w:val="nil"/>
              <w:bottom w:val="single" w:color="auto" w:sz="4" w:space="0"/>
              <w:right w:val="single" w:color="auto" w:sz="4" w:space="0"/>
            </w:tcBorders>
            <w:tcMar>
              <w:top w:w="15" w:type="dxa"/>
              <w:left w:w="15" w:type="dxa"/>
              <w:bottom w:w="15" w:type="dxa"/>
              <w:right w:w="15" w:type="dxa"/>
            </w:tcMar>
            <w:vAlign w:val="center"/>
          </w:tcPr>
          <w:p w14:paraId="28FA5F3C">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依托5G+北斗通感一体化网络，打通跨区域算力高速传输通道；建设适配高原环境的算力调度管理平台，统筹通用算力、智能算力、边缘算力资源，落实“东数西存、东数西训、本地智算”协同调度模式；接入风光水清洁能源监测数据，构建“绿电+算力”协同匹配机制；搭建数据灾备与安全管控系统，完善离线存储、备份恢复、数据合规防护能力，支撑西藏“算力珠峰”一体化网络节点建设。</w:t>
            </w:r>
          </w:p>
        </w:tc>
      </w:tr>
      <w:tr w14:paraId="6CD77499">
        <w:tblPrEx>
          <w:tblCellMar>
            <w:top w:w="0" w:type="dxa"/>
            <w:left w:w="108" w:type="dxa"/>
            <w:bottom w:w="0" w:type="dxa"/>
            <w:right w:w="108" w:type="dxa"/>
          </w:tblCellMar>
        </w:tblPrEx>
        <w:trPr>
          <w:trHeight w:val="940" w:hRule="atLeast"/>
          <w:tblCellSpacing w:w="15" w:type="dxa"/>
        </w:trPr>
        <w:tc>
          <w:tcPr>
            <w:tcW w:w="2403" w:type="dxa"/>
            <w:tcBorders>
              <w:top w:val="nil"/>
              <w:left w:val="single" w:color="auto" w:sz="4" w:space="0"/>
              <w:bottom w:val="single" w:color="auto" w:sz="4" w:space="0"/>
              <w:right w:val="single" w:color="auto" w:sz="4" w:space="0"/>
            </w:tcBorders>
            <w:tcMar>
              <w:top w:w="15" w:type="dxa"/>
              <w:left w:w="15" w:type="dxa"/>
              <w:bottom w:w="15" w:type="dxa"/>
              <w:right w:w="15" w:type="dxa"/>
            </w:tcMar>
            <w:vAlign w:val="center"/>
          </w:tcPr>
          <w:p w14:paraId="1465A005">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高原低温低压工况下，服务器、电气设备存在绝缘衰减、散热适配难等问题；高寒条件现场运维难度大，缺乏高原数据中心建设、运维、能耗管控专属标准；智算集群、存储硬件的高原适配改造技术有待持续攻关，PUE优化还有提升空间。</w:t>
            </w:r>
          </w:p>
        </w:tc>
        <w:tc>
          <w:tcPr>
            <w:tcW w:w="1520" w:type="dxa"/>
            <w:tcBorders>
              <w:top w:val="nil"/>
              <w:left w:val="nil"/>
              <w:bottom w:val="single" w:color="auto" w:sz="4" w:space="0"/>
              <w:right w:val="single" w:color="auto" w:sz="4" w:space="0"/>
            </w:tcBorders>
            <w:tcMar>
              <w:top w:w="15" w:type="dxa"/>
              <w:left w:w="15" w:type="dxa"/>
              <w:bottom w:w="15" w:type="dxa"/>
              <w:right w:w="15" w:type="dxa"/>
            </w:tcMar>
            <w:vAlign w:val="center"/>
          </w:tcPr>
          <w:p w14:paraId="19B8A8A6">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高海拔算力设施数字化适配与智能运维。</w:t>
            </w:r>
          </w:p>
        </w:tc>
        <w:tc>
          <w:tcPr>
            <w:tcW w:w="4792" w:type="dxa"/>
            <w:tcBorders>
              <w:top w:val="nil"/>
              <w:left w:val="nil"/>
              <w:bottom w:val="single" w:color="auto" w:sz="4" w:space="0"/>
              <w:right w:val="single" w:color="auto" w:sz="4" w:space="0"/>
            </w:tcBorders>
            <w:tcMar>
              <w:top w:w="15" w:type="dxa"/>
              <w:left w:w="15" w:type="dxa"/>
              <w:bottom w:w="15" w:type="dxa"/>
              <w:right w:w="15" w:type="dxa"/>
            </w:tcMar>
            <w:vAlign w:val="center"/>
          </w:tcPr>
          <w:p w14:paraId="5C2AB10F">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联合援藏科研院所、数字技术企业，攻关高原机房自然冷却、设备低温防护、电气系统抗高海拔衰减等关键技术，最大化发挥天然冷源优势，推动数据中心PUE持续优化；部署机房物联网感知终端，实时采集机房温湿度、能耗、设备运行状态；搭建算力设施远程健康诊断运维平台，实现故障预警、远程调试，降低高原现场运维压力；依托实测运行数据，探索形成高原数据中心建设、算力运维、能耗管控地方技术标准，支撑算力节点规模化落地。</w:t>
            </w:r>
          </w:p>
        </w:tc>
      </w:tr>
      <w:tr w14:paraId="64DDB07B">
        <w:tblPrEx>
          <w:tblCellMar>
            <w:top w:w="0" w:type="dxa"/>
            <w:left w:w="108" w:type="dxa"/>
            <w:bottom w:w="0" w:type="dxa"/>
            <w:right w:w="108" w:type="dxa"/>
          </w:tblCellMar>
        </w:tblPrEx>
        <w:trPr>
          <w:trHeight w:val="3080" w:hRule="atLeast"/>
          <w:tblCellSpacing w:w="15" w:type="dxa"/>
        </w:trPr>
        <w:tc>
          <w:tcPr>
            <w:tcW w:w="2403" w:type="dxa"/>
            <w:tcBorders>
              <w:top w:val="nil"/>
              <w:left w:val="single" w:color="auto" w:sz="4" w:space="0"/>
              <w:bottom w:val="single" w:color="auto" w:sz="4" w:space="0"/>
              <w:right w:val="single" w:color="auto" w:sz="4" w:space="0"/>
            </w:tcBorders>
            <w:tcMar>
              <w:top w:w="15" w:type="dxa"/>
              <w:left w:w="15" w:type="dxa"/>
              <w:bottom w:w="15" w:type="dxa"/>
              <w:right w:w="15" w:type="dxa"/>
            </w:tcMar>
            <w:vAlign w:val="center"/>
          </w:tcPr>
          <w:p w14:paraId="20A0FDDB">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算力底座与畜牧、文旅、天然饮用水、低空经济、绿色矿业、交通物流等产业数据相互割裂，“算力+N”场景融合深度不足；行业数据归集利用程度不高，数字化改造赋能效能未能充分释放，数据要素价值、富民带动效应有待进一步挖掘。</w:t>
            </w:r>
          </w:p>
        </w:tc>
        <w:tc>
          <w:tcPr>
            <w:tcW w:w="1520" w:type="dxa"/>
            <w:tcBorders>
              <w:top w:val="nil"/>
              <w:left w:val="nil"/>
              <w:bottom w:val="single" w:color="auto" w:sz="4" w:space="0"/>
              <w:right w:val="single" w:color="auto" w:sz="4" w:space="0"/>
            </w:tcBorders>
            <w:tcMar>
              <w:top w:w="15" w:type="dxa"/>
              <w:left w:w="15" w:type="dxa"/>
              <w:bottom w:w="15" w:type="dxa"/>
              <w:right w:w="15" w:type="dxa"/>
            </w:tcMar>
            <w:vAlign w:val="center"/>
          </w:tcPr>
          <w:p w14:paraId="5B37802A">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多行业数据融合赋能与全链条价值升级。</w:t>
            </w:r>
          </w:p>
        </w:tc>
        <w:tc>
          <w:tcPr>
            <w:tcW w:w="4792" w:type="dxa"/>
            <w:tcBorders>
              <w:top w:val="nil"/>
              <w:left w:val="nil"/>
              <w:bottom w:val="single" w:color="auto" w:sz="4" w:space="0"/>
              <w:right w:val="single" w:color="auto" w:sz="4" w:space="0"/>
            </w:tcBorders>
            <w:tcMar>
              <w:top w:w="15" w:type="dxa"/>
              <w:left w:w="15" w:type="dxa"/>
              <w:bottom w:w="15" w:type="dxa"/>
              <w:right w:w="15" w:type="dxa"/>
            </w:tcMar>
            <w:vAlign w:val="center"/>
          </w:tcPr>
          <w:p w14:paraId="7B3CC1A4">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归集算力平台运行、行业监测、政务业务、市场应用全流程原始数据；打通算力平台与智慧牧业、文旅数字云、水源地生态监测、低空智管平台、矿区监管、交通物流业务系统的数据接口；依托算力资源赋能草场分析、牲畜大数据管理、冰川水源遥感解析、无人机航拍数据处理、数字文创开发等新业态；搭建行业数据服务台账，推广“算力平台+合作社+经营主体”服务模式，拓展数据标注、数字运维等数字化岗位，释放数据要素价值，拓宽群众数字领域增收渠道。</w:t>
            </w:r>
          </w:p>
        </w:tc>
      </w:tr>
    </w:tbl>
    <w:p w14:paraId="47893A37">
      <w:pPr>
        <w:spacing w:line="576" w:lineRule="exact"/>
        <w:ind w:firstLine="643" w:firstLineChars="200"/>
        <w:jc w:val="both"/>
        <w:rPr>
          <w:rFonts w:ascii="Times New Roman" w:hAnsi="Times New Roman" w:eastAsia="方正仿宋简体" w:cs="方正仿宋简体"/>
          <w:bCs/>
          <w:sz w:val="32"/>
          <w:szCs w:val="28"/>
          <w:lang w:val="en-US" w:eastAsia="zh-CN"/>
        </w:rPr>
      </w:pPr>
      <w:r>
        <w:rPr>
          <w:rFonts w:ascii="Times New Roman" w:hAnsi="Times New Roman" w:eastAsia="方正仿宋简体" w:cs="方正仿宋简体"/>
          <w:b/>
          <w:sz w:val="32"/>
          <w:szCs w:val="28"/>
          <w:lang w:eastAsia="zh-CN"/>
        </w:rPr>
        <w:t>驱动效果：</w:t>
      </w:r>
      <w:r>
        <w:rPr>
          <w:rFonts w:ascii="Times New Roman" w:hAnsi="Times New Roman" w:eastAsia="方正仿宋简体" w:cs="方正仿宋简体"/>
          <w:bCs/>
          <w:sz w:val="32"/>
          <w:szCs w:val="28"/>
          <w:lang w:eastAsia="zh-CN"/>
        </w:rPr>
        <w:t>补齐高原算网融合、数据安全灾备技术短板，提升跨区域算力调度与绿电协同利用水平；破解高海拔算力设施运行运维技术痛点，夯实高原算力技术标准创制基础；打通跨产业数据壁垒，深化“算力+N”多业态融合应用，充分释放天然冷源、清洁能源资源禀赋价值，培育本土数字技术技能人才，拓宽群众数字增收渠道，为算力经济从试点培育向新兴战略产业稳步演进筑牢数字技术底座。</w:t>
      </w:r>
    </w:p>
    <w:bookmarkEnd w:id="436"/>
    <w:bookmarkEnd w:id="441"/>
    <w:p w14:paraId="768B1895">
      <w:pPr>
        <w:spacing w:line="576" w:lineRule="exact"/>
        <w:ind w:firstLine="640" w:firstLineChars="200"/>
        <w:jc w:val="both"/>
        <w:rPr>
          <w:rFonts w:ascii="Times New Roman" w:hAnsi="Times New Roman"/>
        </w:rPr>
      </w:pPr>
      <w:r>
        <w:rPr>
          <w:rFonts w:hint="eastAsia" w:ascii="Times New Roman" w:hAnsi="Times New Roman" w:eastAsia="方正仿宋简体" w:cs="方正仿宋简体"/>
          <w:bCs/>
          <w:sz w:val="32"/>
          <w:szCs w:val="28"/>
          <w:lang w:eastAsia="zh-CN"/>
        </w:rPr>
        <w:t>综上所述，技术创新对那曲特色产业的驱动，是一个系统性工程，其成功依赖于三点。</w:t>
      </w:r>
      <w:r>
        <w:rPr>
          <w:rFonts w:hint="eastAsia" w:ascii="Times New Roman" w:hAnsi="Times New Roman" w:eastAsia="方正仿宋简体" w:cs="方正仿宋简体"/>
          <w:b/>
          <w:sz w:val="32"/>
          <w:szCs w:val="28"/>
          <w:lang w:val="en-US" w:eastAsia="zh-CN"/>
        </w:rPr>
        <w:t>一是</w:t>
      </w:r>
      <w:r>
        <w:rPr>
          <w:rFonts w:hint="eastAsia" w:ascii="Times New Roman" w:hAnsi="Times New Roman" w:eastAsia="方正仿宋简体" w:cs="方正仿宋简体"/>
          <w:bCs/>
          <w:sz w:val="32"/>
          <w:szCs w:val="28"/>
          <w:lang w:eastAsia="zh-CN"/>
        </w:rPr>
        <w:t>技术适应性改造。直接照搬内地技术很可能“水土不服”，必须针对高海拔、低温、低压、大风等环境进行适应性研发和测试；</w:t>
      </w:r>
      <w:r>
        <w:rPr>
          <w:rFonts w:hint="eastAsia" w:ascii="Times New Roman" w:hAnsi="Times New Roman" w:eastAsia="方正仿宋简体" w:cs="方正仿宋简体"/>
          <w:b/>
          <w:sz w:val="32"/>
          <w:szCs w:val="28"/>
          <w:lang w:val="en-US" w:eastAsia="zh-CN"/>
        </w:rPr>
        <w:t>二是</w:t>
      </w:r>
      <w:r>
        <w:rPr>
          <w:rFonts w:hint="eastAsia" w:ascii="Times New Roman" w:hAnsi="Times New Roman" w:eastAsia="方正仿宋简体" w:cs="方正仿宋简体"/>
          <w:bCs/>
          <w:sz w:val="32"/>
          <w:szCs w:val="28"/>
          <w:lang w:eastAsia="zh-CN"/>
        </w:rPr>
        <w:t>基础设施先行。稳定的通信网络（</w:t>
      </w:r>
      <w:r>
        <w:rPr>
          <w:rFonts w:ascii="Times New Roman" w:hAnsi="Times New Roman" w:eastAsia="方正仿宋简体" w:cs="Times New Roman"/>
          <w:bCs/>
          <w:sz w:val="32"/>
          <w:szCs w:val="28"/>
          <w:lang w:eastAsia="zh-CN"/>
        </w:rPr>
        <w:t>5G</w:t>
      </w:r>
      <w:r>
        <w:rPr>
          <w:rFonts w:hint="eastAsia" w:ascii="Times New Roman" w:hAnsi="Times New Roman" w:eastAsia="方正仿宋简体" w:cs="方正仿宋简体"/>
          <w:bCs/>
          <w:sz w:val="32"/>
          <w:szCs w:val="28"/>
          <w:lang w:eastAsia="zh-CN"/>
        </w:rPr>
        <w:t>/卫星互联网）、绿色能源网络和交通网络是所有这些技术应用的基础；</w:t>
      </w:r>
      <w:r>
        <w:rPr>
          <w:rFonts w:hint="eastAsia" w:ascii="Times New Roman" w:hAnsi="Times New Roman" w:eastAsia="方正仿宋简体" w:cs="方正仿宋简体"/>
          <w:b/>
          <w:sz w:val="32"/>
          <w:szCs w:val="28"/>
          <w:lang w:val="en-US" w:eastAsia="zh-CN"/>
        </w:rPr>
        <w:t>三是</w:t>
      </w:r>
      <w:r>
        <w:rPr>
          <w:rFonts w:hint="eastAsia" w:ascii="Times New Roman" w:hAnsi="Times New Roman" w:eastAsia="方正仿宋简体" w:cs="方正仿宋简体"/>
          <w:bCs/>
          <w:sz w:val="32"/>
          <w:szCs w:val="28"/>
          <w:lang w:eastAsia="zh-CN"/>
        </w:rPr>
        <w:t>人才培养与引进。需要培养既懂当地产业又懂新技术的“新牧民”和本地技术员，同时制定优惠政策吸引外部科技人才。如果能够有效推进，则那曲市</w:t>
      </w:r>
      <w:r>
        <w:rPr>
          <w:rFonts w:hint="eastAsia" w:ascii="Times New Roman" w:hAnsi="Times New Roman" w:eastAsia="方正仿宋简体" w:cs="方正仿宋简体"/>
          <w:bCs/>
          <w:sz w:val="32"/>
          <w:szCs w:val="28"/>
          <w:lang w:val="en-US" w:eastAsia="zh-CN"/>
        </w:rPr>
        <w:t>特色</w:t>
      </w:r>
      <w:r>
        <w:rPr>
          <w:rFonts w:hint="eastAsia" w:ascii="Times New Roman" w:hAnsi="Times New Roman" w:eastAsia="方正仿宋简体" w:cs="方正仿宋简体"/>
          <w:bCs/>
          <w:sz w:val="32"/>
          <w:szCs w:val="28"/>
          <w:lang w:eastAsia="zh-CN"/>
        </w:rPr>
        <w:t>产业发展将实现从“资源依赖型”向“技术创新驱动型”的根本转变，在全球高原经济发展中树立一个“科技赋能、生态友好、民生改善”的中国典范。</w:t>
      </w:r>
      <w:bookmarkStart w:id="451" w:name="_Toc218422289"/>
    </w:p>
    <w:p w14:paraId="513B0CB5">
      <w:pPr>
        <w:pStyle w:val="8"/>
        <w:overflowPunct w:val="0"/>
        <w:topLinePunct/>
        <w:autoSpaceDE/>
        <w:autoSpaceDN/>
        <w:spacing w:before="0" w:line="576" w:lineRule="exact"/>
        <w:ind w:left="0" w:firstLine="640" w:firstLineChars="200"/>
        <w:jc w:val="both"/>
        <w:outlineLvl w:val="0"/>
        <w:rPr>
          <w:rFonts w:ascii="Times New Roman" w:hAnsi="Times New Roman" w:eastAsia="方正黑体简体" w:cs="方正黑体简体"/>
          <w:sz w:val="32"/>
          <w:szCs w:val="32"/>
          <w:lang w:val="en-US" w:eastAsia="zh-CN"/>
        </w:rPr>
      </w:pPr>
      <w:bookmarkStart w:id="452" w:name="_Toc243241562"/>
      <w:r>
        <w:rPr>
          <w:rFonts w:hint="eastAsia" w:ascii="Times New Roman" w:hAnsi="Times New Roman" w:eastAsia="方正黑体简体" w:cs="方正黑体简体"/>
          <w:sz w:val="32"/>
          <w:szCs w:val="32"/>
          <w:lang w:val="en-US" w:eastAsia="zh-CN"/>
        </w:rPr>
        <w:t>二、特色产业市场需求变化趋势</w:t>
      </w:r>
      <w:bookmarkEnd w:id="451"/>
      <w:bookmarkEnd w:id="452"/>
    </w:p>
    <w:p w14:paraId="616349E7">
      <w:pPr>
        <w:spacing w:line="576" w:lineRule="exact"/>
        <w:ind w:firstLine="640" w:firstLineChars="200"/>
        <w:jc w:val="both"/>
        <w:rPr>
          <w:rFonts w:ascii="Times New Roman" w:hAnsi="Times New Roman" w:eastAsia="方正仿宋简体" w:cs="方正仿宋简体"/>
          <w:bCs/>
          <w:sz w:val="32"/>
          <w:szCs w:val="28"/>
          <w:lang w:eastAsia="zh-CN"/>
        </w:rPr>
      </w:pPr>
      <w:r>
        <w:rPr>
          <w:rFonts w:hint="eastAsia" w:ascii="Times New Roman" w:hAnsi="Times New Roman" w:eastAsia="方正仿宋简体" w:cs="方正仿宋简体"/>
          <w:bCs/>
          <w:sz w:val="32"/>
          <w:szCs w:val="28"/>
          <w:lang w:eastAsia="zh-CN"/>
        </w:rPr>
        <w:t>总体来看，那曲市特色产业的市场需求正在经历一场深刻的升级与分化，其核心趋势是：从“量”的需求转向“质”的需求，从“原料”的需求转向“体验”与“信任”品牌的需求。</w:t>
      </w:r>
    </w:p>
    <w:p w14:paraId="39170E11">
      <w:pPr>
        <w:pStyle w:val="8"/>
        <w:overflowPunct w:val="0"/>
        <w:topLinePunct/>
        <w:autoSpaceDE/>
        <w:autoSpaceDN/>
        <w:spacing w:before="0" w:line="576" w:lineRule="exact"/>
        <w:ind w:left="0" w:firstLine="640" w:firstLineChars="200"/>
        <w:jc w:val="both"/>
        <w:outlineLvl w:val="1"/>
        <w:rPr>
          <w:rFonts w:ascii="Times New Roman" w:hAnsi="Times New Roman" w:eastAsia="方正楷体简体" w:cs="方正楷体简体"/>
          <w:sz w:val="32"/>
          <w:szCs w:val="32"/>
        </w:rPr>
      </w:pPr>
      <w:bookmarkStart w:id="453" w:name="_Toc243241563"/>
      <w:r>
        <w:rPr>
          <w:rFonts w:hint="eastAsia" w:ascii="Times New Roman" w:hAnsi="Times New Roman" w:eastAsia="方正楷体简体" w:cs="方正楷体简体"/>
          <w:sz w:val="32"/>
          <w:szCs w:val="32"/>
        </w:rPr>
        <w:t>（一）</w:t>
      </w:r>
      <w:r>
        <w:rPr>
          <w:rFonts w:hint="eastAsia" w:ascii="Times New Roman" w:hAnsi="Times New Roman" w:eastAsia="方正楷体简体" w:cs="方正楷体简体"/>
          <w:sz w:val="32"/>
          <w:szCs w:val="32"/>
          <w:lang w:eastAsia="zh-CN"/>
        </w:rPr>
        <w:t>高原特色畜牧业</w:t>
      </w:r>
      <w:r>
        <w:rPr>
          <w:rFonts w:hint="eastAsia" w:ascii="Times New Roman" w:hAnsi="Times New Roman" w:eastAsia="方正楷体简体" w:cs="方正楷体简体"/>
          <w:sz w:val="32"/>
          <w:szCs w:val="32"/>
        </w:rPr>
        <w:t>市场需求变化趋势</w:t>
      </w:r>
      <w:bookmarkEnd w:id="453"/>
    </w:p>
    <w:p w14:paraId="44837246">
      <w:pPr>
        <w:spacing w:line="576" w:lineRule="exact"/>
        <w:ind w:firstLine="640" w:firstLineChars="200"/>
        <w:jc w:val="both"/>
        <w:rPr>
          <w:rFonts w:ascii="Times New Roman" w:hAnsi="Times New Roman" w:eastAsia="方正仿宋简体" w:cs="方正仿宋简体"/>
          <w:bCs/>
          <w:sz w:val="32"/>
          <w:szCs w:val="28"/>
          <w:lang w:eastAsia="zh-CN"/>
        </w:rPr>
      </w:pPr>
      <w:r>
        <w:rPr>
          <w:rFonts w:hint="eastAsia" w:ascii="Times New Roman" w:hAnsi="Times New Roman" w:eastAsia="方正仿宋简体" w:cs="方正仿宋简体"/>
          <w:bCs/>
          <w:sz w:val="32"/>
          <w:szCs w:val="28"/>
          <w:lang w:eastAsia="zh-CN"/>
        </w:rPr>
        <w:t>高原特色畜牧业不仅是那曲市的基础产业，也是支柱产业，牦牛是那曲高原特色畜牧业的最独特的高原特有资源，其市场需求变化最具代表性。</w:t>
      </w:r>
    </w:p>
    <w:p w14:paraId="01C3C7F1">
      <w:pPr>
        <w:spacing w:line="576" w:lineRule="exact"/>
        <w:jc w:val="center"/>
        <w:rPr>
          <w:rFonts w:ascii="Times New Roman" w:hAnsi="Times New Roman" w:eastAsia="方正仿宋简体" w:cs="方正仿宋简体"/>
          <w:b/>
          <w:sz w:val="32"/>
          <w:szCs w:val="32"/>
          <w:lang w:eastAsia="zh-CN"/>
        </w:rPr>
      </w:pPr>
      <w:r>
        <w:rPr>
          <w:rFonts w:hint="eastAsia" w:ascii="Times New Roman" w:hAnsi="Times New Roman" w:eastAsia="方正仿宋简体" w:cs="方正仿宋简体"/>
          <w:b/>
          <w:sz w:val="32"/>
          <w:szCs w:val="32"/>
          <w:lang w:eastAsia="zh-CN"/>
        </w:rPr>
        <w:t>那曲市高原特色畜牧业市场变化趋势</w:t>
      </w:r>
    </w:p>
    <w:tbl>
      <w:tblPr>
        <w:tblStyle w:val="21"/>
        <w:tblW w:w="0" w:type="auto"/>
        <w:tblCellSpacing w:w="15"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15" w:type="dxa"/>
          <w:left w:w="15" w:type="dxa"/>
          <w:bottom w:w="15" w:type="dxa"/>
          <w:right w:w="15" w:type="dxa"/>
        </w:tblCellMar>
      </w:tblPr>
      <w:tblGrid>
        <w:gridCol w:w="1102"/>
        <w:gridCol w:w="1933"/>
        <w:gridCol w:w="4027"/>
        <w:gridCol w:w="1773"/>
      </w:tblGrid>
      <w:tr w14:paraId="0D68CD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531" w:hRule="atLeast"/>
          <w:tblHeader/>
          <w:tblCellSpacing w:w="15" w:type="dxa"/>
        </w:trPr>
        <w:tc>
          <w:tcPr>
            <w:tcW w:w="1057" w:type="dxa"/>
            <w:vAlign w:val="center"/>
          </w:tcPr>
          <w:p w14:paraId="4EDA1A3A">
            <w:pPr>
              <w:widowControl/>
              <w:spacing w:line="352" w:lineRule="exact"/>
              <w:jc w:val="right"/>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需求维度</w:t>
            </w:r>
          </w:p>
        </w:tc>
        <w:tc>
          <w:tcPr>
            <w:tcW w:w="1903" w:type="dxa"/>
            <w:tcBorders>
              <w:left w:val="single" w:color="auto" w:sz="4" w:space="0"/>
              <w:right w:val="single" w:color="auto" w:sz="4" w:space="0"/>
            </w:tcBorders>
            <w:vAlign w:val="center"/>
          </w:tcPr>
          <w:p w14:paraId="202D0D53">
            <w:pPr>
              <w:widowControl/>
              <w:spacing w:line="352" w:lineRule="exact"/>
              <w:jc w:val="right"/>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过去的传统需求</w:t>
            </w:r>
          </w:p>
        </w:tc>
        <w:tc>
          <w:tcPr>
            <w:tcW w:w="3997" w:type="dxa"/>
            <w:vAlign w:val="center"/>
          </w:tcPr>
          <w:p w14:paraId="7B64E2FE">
            <w:pPr>
              <w:widowControl/>
              <w:spacing w:line="352" w:lineRule="exact"/>
              <w:jc w:val="right"/>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当前及未来的趋势性需求</w:t>
            </w:r>
          </w:p>
        </w:tc>
        <w:tc>
          <w:tcPr>
            <w:tcW w:w="1728" w:type="dxa"/>
            <w:tcBorders>
              <w:left w:val="single" w:color="auto" w:sz="4" w:space="0"/>
            </w:tcBorders>
            <w:vAlign w:val="center"/>
          </w:tcPr>
          <w:p w14:paraId="6865332A">
            <w:pPr>
              <w:widowControl/>
              <w:spacing w:line="352" w:lineRule="exact"/>
              <w:jc w:val="right"/>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驱动因素</w:t>
            </w:r>
          </w:p>
        </w:tc>
      </w:tr>
      <w:tr w14:paraId="67876A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1593" w:hRule="atLeast"/>
          <w:tblCellSpacing w:w="15" w:type="dxa"/>
        </w:trPr>
        <w:tc>
          <w:tcPr>
            <w:tcW w:w="1057" w:type="dxa"/>
            <w:tcBorders>
              <w:top w:val="single" w:color="auto" w:sz="4" w:space="0"/>
              <w:bottom w:val="single" w:color="auto" w:sz="4" w:space="0"/>
            </w:tcBorders>
            <w:vAlign w:val="center"/>
          </w:tcPr>
          <w:p w14:paraId="088FD3DB">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产品形态</w:t>
            </w:r>
          </w:p>
        </w:tc>
        <w:tc>
          <w:tcPr>
            <w:tcW w:w="1903" w:type="dxa"/>
            <w:tcBorders>
              <w:top w:val="single" w:color="auto" w:sz="4" w:space="0"/>
              <w:left w:val="single" w:color="auto" w:sz="4" w:space="0"/>
              <w:bottom w:val="single" w:color="auto" w:sz="4" w:space="0"/>
              <w:right w:val="single" w:color="auto" w:sz="4" w:space="0"/>
            </w:tcBorders>
            <w:vAlign w:val="center"/>
          </w:tcPr>
          <w:p w14:paraId="10BF2166">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原料化、大宗化：以出售活畜、冻肉为主，作为普通肉类填充市场。</w:t>
            </w:r>
          </w:p>
        </w:tc>
        <w:tc>
          <w:tcPr>
            <w:tcW w:w="3997" w:type="dxa"/>
            <w:tcBorders>
              <w:top w:val="single" w:color="auto" w:sz="4" w:space="0"/>
              <w:bottom w:val="single" w:color="auto" w:sz="4" w:space="0"/>
            </w:tcBorders>
            <w:vAlign w:val="center"/>
          </w:tcPr>
          <w:p w14:paraId="0F70F94F">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精细化、标准化、便捷化：需求转向冷鲜肉、分割肉（特定部位）、预制菜（如牦牛肉火锅片、熟食制品）。消费者追求烹饪便捷性和口味一致性。</w:t>
            </w:r>
          </w:p>
        </w:tc>
        <w:tc>
          <w:tcPr>
            <w:tcW w:w="1728" w:type="dxa"/>
            <w:tcBorders>
              <w:top w:val="single" w:color="auto" w:sz="4" w:space="0"/>
              <w:left w:val="single" w:color="auto" w:sz="4" w:space="0"/>
              <w:bottom w:val="single" w:color="auto" w:sz="4" w:space="0"/>
            </w:tcBorders>
            <w:vAlign w:val="center"/>
          </w:tcPr>
          <w:p w14:paraId="7C190876">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1．生活节奏加快。2．冷链物流技术普及。</w:t>
            </w:r>
          </w:p>
          <w:p w14:paraId="6766A2FB">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3．年轻消费群体崛起。</w:t>
            </w:r>
          </w:p>
        </w:tc>
      </w:tr>
      <w:tr w14:paraId="7DDF06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1554" w:hRule="atLeast"/>
          <w:tblCellSpacing w:w="15" w:type="dxa"/>
        </w:trPr>
        <w:tc>
          <w:tcPr>
            <w:tcW w:w="1057" w:type="dxa"/>
            <w:vAlign w:val="center"/>
          </w:tcPr>
          <w:p w14:paraId="5118F85D">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品质内涵</w:t>
            </w:r>
          </w:p>
        </w:tc>
        <w:tc>
          <w:tcPr>
            <w:tcW w:w="1903" w:type="dxa"/>
            <w:tcBorders>
              <w:left w:val="single" w:color="auto" w:sz="4" w:space="0"/>
              <w:right w:val="single" w:color="auto" w:sz="4" w:space="0"/>
            </w:tcBorders>
            <w:vAlign w:val="center"/>
          </w:tcPr>
          <w:p w14:paraId="45FCE2F9">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泛泛而谈的“天然”：强调产自高原，概念模糊。</w:t>
            </w:r>
          </w:p>
        </w:tc>
        <w:tc>
          <w:tcPr>
            <w:tcW w:w="3997" w:type="dxa"/>
            <w:vAlign w:val="center"/>
          </w:tcPr>
          <w:p w14:paraId="119C4679">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可验证的“高品质”与“特异性”：需求指向有机、绿色认证、风味物质（如氨基酸含量）等具体指标。市场关注牦牛的生长环境、饲养方式（野生放养）、营养价值（高蛋白、低脂肪）。</w:t>
            </w:r>
          </w:p>
        </w:tc>
        <w:tc>
          <w:tcPr>
            <w:tcW w:w="1728" w:type="dxa"/>
            <w:tcBorders>
              <w:left w:val="single" w:color="auto" w:sz="4" w:space="0"/>
            </w:tcBorders>
            <w:vAlign w:val="center"/>
          </w:tcPr>
          <w:p w14:paraId="33484588">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1．消费升级，健康意识增强。</w:t>
            </w:r>
          </w:p>
          <w:p w14:paraId="76A0475F">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2．食品安全事件后，对可追溯体系的信任需求。</w:t>
            </w:r>
          </w:p>
        </w:tc>
      </w:tr>
      <w:tr w14:paraId="067662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1727" w:hRule="atLeast"/>
          <w:tblCellSpacing w:w="15" w:type="dxa"/>
        </w:trPr>
        <w:tc>
          <w:tcPr>
            <w:tcW w:w="1057" w:type="dxa"/>
            <w:tcBorders>
              <w:top w:val="single" w:color="auto" w:sz="4" w:space="0"/>
            </w:tcBorders>
            <w:vAlign w:val="center"/>
          </w:tcPr>
          <w:p w14:paraId="701B0A85">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价值认同</w:t>
            </w:r>
          </w:p>
        </w:tc>
        <w:tc>
          <w:tcPr>
            <w:tcW w:w="1903" w:type="dxa"/>
            <w:tcBorders>
              <w:top w:val="single" w:color="auto" w:sz="4" w:space="0"/>
              <w:left w:val="single" w:color="auto" w:sz="4" w:space="0"/>
              <w:right w:val="single" w:color="auto" w:sz="4" w:space="0"/>
            </w:tcBorders>
            <w:vAlign w:val="center"/>
          </w:tcPr>
          <w:p w14:paraId="586F7398">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产品功能价值：主要是果腹、补充营养。</w:t>
            </w:r>
          </w:p>
        </w:tc>
        <w:tc>
          <w:tcPr>
            <w:tcW w:w="3997" w:type="dxa"/>
            <w:tcBorders>
              <w:top w:val="single" w:color="auto" w:sz="4" w:space="0"/>
            </w:tcBorders>
            <w:vAlign w:val="center"/>
          </w:tcPr>
          <w:p w14:paraId="46B281FC">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情感与文化价值：需求不仅是吃肉，更是消费一种“来自世界屋脊的纯净”“稀缺性”和“藏族文化”的体验。品牌故事、产地文化成为重要附加值。</w:t>
            </w:r>
          </w:p>
        </w:tc>
        <w:tc>
          <w:tcPr>
            <w:tcW w:w="1728" w:type="dxa"/>
            <w:tcBorders>
              <w:top w:val="single" w:color="auto" w:sz="4" w:space="0"/>
              <w:left w:val="single" w:color="auto" w:sz="4" w:space="0"/>
            </w:tcBorders>
            <w:vAlign w:val="center"/>
          </w:tcPr>
          <w:p w14:paraId="49316C60">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1．中高端消费群体对精神满足的追求。</w:t>
            </w:r>
          </w:p>
          <w:p w14:paraId="081771D3">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2．文旅融合带来的文化好奇。</w:t>
            </w:r>
          </w:p>
        </w:tc>
      </w:tr>
      <w:tr w14:paraId="72FB68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1884" w:hRule="atLeast"/>
          <w:tblCellSpacing w:w="15" w:type="dxa"/>
        </w:trPr>
        <w:tc>
          <w:tcPr>
            <w:tcW w:w="1057" w:type="dxa"/>
            <w:tcBorders>
              <w:top w:val="single" w:color="auto" w:sz="4" w:space="0"/>
            </w:tcBorders>
            <w:vAlign w:val="center"/>
          </w:tcPr>
          <w:p w14:paraId="069C619F">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市场范围</w:t>
            </w:r>
          </w:p>
        </w:tc>
        <w:tc>
          <w:tcPr>
            <w:tcW w:w="1903" w:type="dxa"/>
            <w:tcBorders>
              <w:top w:val="single" w:color="auto" w:sz="4" w:space="0"/>
              <w:left w:val="single" w:color="auto" w:sz="4" w:space="0"/>
              <w:right w:val="single" w:color="auto" w:sz="4" w:space="0"/>
            </w:tcBorders>
            <w:vAlign w:val="center"/>
          </w:tcPr>
          <w:p w14:paraId="3859BC85">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区域性市场：主要销往西藏本地及周边省份。</w:t>
            </w:r>
          </w:p>
        </w:tc>
        <w:tc>
          <w:tcPr>
            <w:tcW w:w="3997" w:type="dxa"/>
            <w:tcBorders>
              <w:top w:val="single" w:color="auto" w:sz="4" w:space="0"/>
            </w:tcBorders>
            <w:vAlign w:val="center"/>
          </w:tcPr>
          <w:p w14:paraId="65A21727">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全国性乃至国际化的利基市场：通过电商平台和高端超市，直达北上广深等一线城市，甚至成为高端西餐厅、特色餐厅的食材。定位为“美食爱好者”和“健康追求者”的顶级食材。</w:t>
            </w:r>
          </w:p>
        </w:tc>
        <w:tc>
          <w:tcPr>
            <w:tcW w:w="1728" w:type="dxa"/>
            <w:tcBorders>
              <w:top w:val="single" w:color="auto" w:sz="4" w:space="0"/>
              <w:left w:val="single" w:color="auto" w:sz="4" w:space="0"/>
            </w:tcBorders>
            <w:vAlign w:val="center"/>
          </w:tcPr>
          <w:p w14:paraId="165F0F08">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1．电商物流网络完善。</w:t>
            </w:r>
          </w:p>
          <w:p w14:paraId="57D073E8">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2．消费者对独特风味的探索。</w:t>
            </w:r>
          </w:p>
        </w:tc>
      </w:tr>
    </w:tbl>
    <w:p w14:paraId="31E4821D">
      <w:pPr>
        <w:pStyle w:val="8"/>
        <w:overflowPunct w:val="0"/>
        <w:topLinePunct/>
        <w:autoSpaceDE/>
        <w:autoSpaceDN/>
        <w:spacing w:before="0" w:line="576" w:lineRule="exact"/>
        <w:ind w:left="0" w:firstLine="640" w:firstLineChars="200"/>
        <w:jc w:val="both"/>
        <w:outlineLvl w:val="1"/>
        <w:rPr>
          <w:rFonts w:ascii="Times New Roman" w:hAnsi="Times New Roman" w:eastAsia="方正楷体简体" w:cs="方正楷体简体"/>
          <w:sz w:val="32"/>
          <w:szCs w:val="32"/>
        </w:rPr>
      </w:pPr>
      <w:bookmarkStart w:id="454" w:name="_Toc243241564"/>
      <w:r>
        <w:rPr>
          <w:rFonts w:hint="eastAsia" w:ascii="Times New Roman" w:hAnsi="Times New Roman" w:eastAsia="方正楷体简体" w:cs="方正楷体简体"/>
          <w:sz w:val="32"/>
          <w:szCs w:val="32"/>
        </w:rPr>
        <w:t>（二）藏医药产业市场需求变化趋势</w:t>
      </w:r>
      <w:bookmarkEnd w:id="454"/>
    </w:p>
    <w:p w14:paraId="2660725F">
      <w:pPr>
        <w:spacing w:line="576" w:lineRule="exact"/>
        <w:ind w:firstLine="640" w:firstLineChars="200"/>
        <w:jc w:val="both"/>
        <w:rPr>
          <w:rFonts w:ascii="Times New Roman" w:hAnsi="Times New Roman" w:eastAsia="方正仿宋简体" w:cs="方正仿宋简体"/>
          <w:bCs/>
          <w:sz w:val="32"/>
          <w:szCs w:val="32"/>
          <w:lang w:eastAsia="zh-CN"/>
        </w:rPr>
      </w:pPr>
      <w:r>
        <w:rPr>
          <w:rFonts w:hint="eastAsia" w:ascii="Times New Roman" w:hAnsi="Times New Roman" w:eastAsia="方正仿宋简体" w:cs="方正仿宋简体"/>
          <w:bCs/>
          <w:sz w:val="32"/>
          <w:szCs w:val="32"/>
          <w:lang w:eastAsia="zh-CN"/>
        </w:rPr>
        <w:t>那曲市</w:t>
      </w:r>
      <w:r>
        <w:rPr>
          <w:rFonts w:hint="eastAsia" w:ascii="Times New Roman" w:hAnsi="Times New Roman" w:eastAsia="方正仿宋简体" w:cs="方正仿宋简体"/>
          <w:bCs/>
          <w:sz w:val="32"/>
          <w:szCs w:val="32"/>
        </w:rPr>
        <w:t>的藏医药产业正在经历深刻转型，其市场需求的变化主要体现在标准化、多元化和规范化几个方面。</w:t>
      </w:r>
    </w:p>
    <w:p w14:paraId="5D106633">
      <w:pPr>
        <w:spacing w:line="576" w:lineRule="exact"/>
        <w:jc w:val="center"/>
        <w:rPr>
          <w:rFonts w:ascii="Times New Roman" w:hAnsi="Times New Roman" w:eastAsia="方正仿宋简体" w:cs="方正仿宋简体"/>
          <w:b/>
          <w:sz w:val="32"/>
          <w:szCs w:val="32"/>
          <w:lang w:eastAsia="zh-CN"/>
        </w:rPr>
      </w:pPr>
      <w:r>
        <w:rPr>
          <w:rFonts w:hint="eastAsia" w:ascii="Times New Roman" w:hAnsi="Times New Roman" w:eastAsia="方正仿宋简体" w:cs="方正仿宋简体"/>
          <w:b/>
          <w:sz w:val="32"/>
          <w:szCs w:val="32"/>
          <w:lang w:eastAsia="zh-CN"/>
        </w:rPr>
        <w:t>那曲市藏医药产业市场变化趋势</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95"/>
        <w:gridCol w:w="1694"/>
        <w:gridCol w:w="4710"/>
      </w:tblGrid>
      <w:tr w14:paraId="5D6BB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2395" w:type="dxa"/>
            <w:vAlign w:val="center"/>
          </w:tcPr>
          <w:p w14:paraId="592D9B80">
            <w:pPr>
              <w:widowControl/>
              <w:spacing w:line="352"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需求维度</w:t>
            </w:r>
          </w:p>
        </w:tc>
        <w:tc>
          <w:tcPr>
            <w:tcW w:w="1694" w:type="dxa"/>
            <w:vAlign w:val="center"/>
          </w:tcPr>
          <w:p w14:paraId="45B369B2">
            <w:pPr>
              <w:widowControl/>
              <w:spacing w:line="352" w:lineRule="exact"/>
              <w:jc w:val="center"/>
              <w:rPr>
                <w:rFonts w:ascii="Times New Roman" w:hAnsi="Times New Roman" w:eastAsia="方正仿宋简体" w:cs="方正仿宋简体"/>
                <w:b/>
                <w:sz w:val="24"/>
                <w:szCs w:val="24"/>
                <w:lang w:eastAsia="zh-CN"/>
              </w:rPr>
            </w:pPr>
            <w:r>
              <w:rPr>
                <w:rFonts w:ascii="Times New Roman" w:hAnsi="Times New Roman" w:eastAsia="方正仿宋简体" w:cs="方正仿宋简体"/>
                <w:b/>
                <w:sz w:val="24"/>
                <w:szCs w:val="24"/>
                <w:lang w:eastAsia="zh-CN"/>
              </w:rPr>
              <w:t>主要趋势</w:t>
            </w:r>
          </w:p>
        </w:tc>
        <w:tc>
          <w:tcPr>
            <w:tcW w:w="4710" w:type="dxa"/>
            <w:vAlign w:val="center"/>
          </w:tcPr>
          <w:p w14:paraId="0EEAB699">
            <w:pPr>
              <w:widowControl/>
              <w:spacing w:line="352" w:lineRule="exact"/>
              <w:jc w:val="center"/>
              <w:rPr>
                <w:rFonts w:ascii="Times New Roman" w:hAnsi="Times New Roman" w:eastAsia="方正仿宋简体" w:cs="方正仿宋简体"/>
                <w:b/>
                <w:sz w:val="24"/>
                <w:szCs w:val="24"/>
                <w:lang w:eastAsia="zh-CN"/>
              </w:rPr>
            </w:pPr>
            <w:r>
              <w:rPr>
                <w:rFonts w:ascii="Times New Roman" w:hAnsi="Times New Roman" w:eastAsia="方正仿宋简体" w:cs="方正仿宋简体"/>
                <w:b/>
                <w:sz w:val="24"/>
                <w:szCs w:val="24"/>
                <w:lang w:eastAsia="zh-CN"/>
              </w:rPr>
              <w:t>具体表现</w:t>
            </w:r>
          </w:p>
        </w:tc>
      </w:tr>
      <w:tr w14:paraId="305C2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9" w:hRule="atLeast"/>
        </w:trPr>
        <w:tc>
          <w:tcPr>
            <w:tcW w:w="2395" w:type="dxa"/>
            <w:vAlign w:val="center"/>
          </w:tcPr>
          <w:p w14:paraId="07A7A9FB">
            <w:pPr>
              <w:widowControl/>
              <w:spacing w:line="270" w:lineRule="exact"/>
              <w:jc w:val="both"/>
              <w:rPr>
                <w:rFonts w:ascii="Times New Roman" w:hAnsi="Times New Roman" w:eastAsia="方正仿宋简体" w:cs="方正仿宋简体"/>
                <w:bCs/>
                <w:sz w:val="24"/>
                <w:szCs w:val="24"/>
                <w:lang w:eastAsia="zh-CN"/>
              </w:rPr>
            </w:pPr>
            <w:r>
              <w:rPr>
                <w:rFonts w:hint="eastAsia" w:ascii="Times New Roman" w:hAnsi="Times New Roman" w:eastAsia="方正仿宋简体" w:cs="方正仿宋简体"/>
                <w:bCs/>
                <w:sz w:val="24"/>
                <w:szCs w:val="24"/>
                <w:lang w:eastAsia="zh-CN"/>
              </w:rPr>
              <w:t>医疗健康需求</w:t>
            </w:r>
          </w:p>
        </w:tc>
        <w:tc>
          <w:tcPr>
            <w:tcW w:w="1694" w:type="dxa"/>
            <w:vAlign w:val="center"/>
          </w:tcPr>
          <w:p w14:paraId="4630BB21">
            <w:pPr>
              <w:widowControl/>
              <w:spacing w:line="270" w:lineRule="exact"/>
              <w:jc w:val="both"/>
              <w:rPr>
                <w:rFonts w:ascii="Times New Roman" w:hAnsi="Times New Roman" w:eastAsia="方正仿宋简体" w:cs="方正仿宋简体"/>
                <w:bCs/>
                <w:sz w:val="24"/>
                <w:szCs w:val="24"/>
                <w:lang w:eastAsia="zh-CN"/>
              </w:rPr>
            </w:pPr>
            <w:r>
              <w:rPr>
                <w:rFonts w:hint="eastAsia" w:ascii="Times New Roman" w:hAnsi="Times New Roman" w:eastAsia="方正仿宋简体" w:cs="方正仿宋简体"/>
                <w:bCs/>
                <w:sz w:val="24"/>
                <w:szCs w:val="24"/>
                <w:lang w:eastAsia="zh-CN"/>
              </w:rPr>
              <w:t>从基础治疗向多元健康服务拓展</w:t>
            </w:r>
          </w:p>
        </w:tc>
        <w:tc>
          <w:tcPr>
            <w:tcW w:w="4710" w:type="dxa"/>
            <w:vAlign w:val="center"/>
          </w:tcPr>
          <w:p w14:paraId="5687BCA0">
            <w:pPr>
              <w:widowControl/>
              <w:spacing w:line="270" w:lineRule="exact"/>
              <w:jc w:val="both"/>
              <w:rPr>
                <w:rFonts w:ascii="Times New Roman" w:hAnsi="Times New Roman" w:eastAsia="方正仿宋简体" w:cs="方正仿宋简体"/>
                <w:bCs/>
                <w:sz w:val="24"/>
                <w:szCs w:val="24"/>
                <w:lang w:eastAsia="zh-CN"/>
              </w:rPr>
            </w:pPr>
            <w:r>
              <w:rPr>
                <w:rFonts w:hint="eastAsia" w:ascii="Times New Roman" w:hAnsi="Times New Roman" w:eastAsia="方正仿宋简体" w:cs="方正仿宋简体"/>
                <w:bCs/>
                <w:sz w:val="24"/>
                <w:szCs w:val="24"/>
                <w:lang w:eastAsia="zh-CN"/>
              </w:rPr>
              <w:t>需求不再局限于疾病治疗，延伸至藏医特色外治疗法（如霍尔麦疗法、金针疗法）、“治未病”保健、以及藏药浴等康养服务。</w:t>
            </w:r>
          </w:p>
        </w:tc>
      </w:tr>
      <w:tr w14:paraId="3FE5E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9" w:hRule="atLeast"/>
        </w:trPr>
        <w:tc>
          <w:tcPr>
            <w:tcW w:w="2395" w:type="dxa"/>
            <w:vAlign w:val="center"/>
          </w:tcPr>
          <w:p w14:paraId="5A1AAEB4">
            <w:pPr>
              <w:widowControl/>
              <w:spacing w:line="270" w:lineRule="exact"/>
              <w:jc w:val="both"/>
              <w:rPr>
                <w:rFonts w:ascii="Times New Roman" w:hAnsi="Times New Roman" w:eastAsia="方正仿宋简体" w:cs="方正仿宋简体"/>
                <w:bCs/>
                <w:sz w:val="24"/>
                <w:szCs w:val="24"/>
                <w:lang w:eastAsia="zh-CN"/>
              </w:rPr>
            </w:pPr>
            <w:r>
              <w:rPr>
                <w:rFonts w:hint="eastAsia" w:ascii="Times New Roman" w:hAnsi="Times New Roman" w:eastAsia="方正仿宋简体" w:cs="方正仿宋简体"/>
                <w:bCs/>
                <w:sz w:val="24"/>
                <w:szCs w:val="24"/>
                <w:lang w:eastAsia="zh-CN"/>
              </w:rPr>
              <w:t>政策与支付方式</w:t>
            </w:r>
          </w:p>
        </w:tc>
        <w:tc>
          <w:tcPr>
            <w:tcW w:w="1694" w:type="dxa"/>
            <w:vAlign w:val="center"/>
          </w:tcPr>
          <w:p w14:paraId="4CAD069B">
            <w:pPr>
              <w:widowControl/>
              <w:spacing w:line="270" w:lineRule="exact"/>
              <w:jc w:val="both"/>
              <w:rPr>
                <w:rFonts w:ascii="Times New Roman" w:hAnsi="Times New Roman" w:eastAsia="方正仿宋简体" w:cs="方正仿宋简体"/>
                <w:bCs/>
                <w:sz w:val="24"/>
                <w:szCs w:val="24"/>
                <w:lang w:eastAsia="zh-CN"/>
              </w:rPr>
            </w:pPr>
            <w:r>
              <w:rPr>
                <w:rFonts w:hint="eastAsia" w:ascii="Times New Roman" w:hAnsi="Times New Roman" w:eastAsia="方正仿宋简体" w:cs="方正仿宋简体"/>
                <w:bCs/>
                <w:sz w:val="24"/>
                <w:szCs w:val="24"/>
                <w:lang w:eastAsia="zh-CN"/>
              </w:rPr>
              <w:t>医保覆盖扩大驱动市场扩容</w:t>
            </w:r>
          </w:p>
        </w:tc>
        <w:tc>
          <w:tcPr>
            <w:tcW w:w="4710" w:type="dxa"/>
            <w:vAlign w:val="center"/>
          </w:tcPr>
          <w:p w14:paraId="24E352A2">
            <w:pPr>
              <w:widowControl/>
              <w:spacing w:line="270" w:lineRule="exact"/>
              <w:jc w:val="both"/>
              <w:rPr>
                <w:rFonts w:ascii="Times New Roman" w:hAnsi="Times New Roman" w:eastAsia="方正仿宋简体" w:cs="方正仿宋简体"/>
                <w:bCs/>
                <w:sz w:val="24"/>
                <w:szCs w:val="24"/>
                <w:lang w:eastAsia="zh-CN"/>
              </w:rPr>
            </w:pPr>
            <w:r>
              <w:rPr>
                <w:rFonts w:hint="eastAsia" w:ascii="Times New Roman" w:hAnsi="Times New Roman" w:eastAsia="方正仿宋简体" w:cs="方正仿宋简体"/>
                <w:bCs/>
                <w:sz w:val="24"/>
                <w:szCs w:val="24"/>
                <w:lang w:eastAsia="zh-CN"/>
              </w:rPr>
              <w:t>藏成药、藏医服务项目及特色医用耗材被纳入医保支付范围，显著降低了患者用药门槛，激发了之前被价格抑制的医疗需求。</w:t>
            </w:r>
          </w:p>
        </w:tc>
      </w:tr>
      <w:tr w14:paraId="3C099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9" w:hRule="atLeast"/>
        </w:trPr>
        <w:tc>
          <w:tcPr>
            <w:tcW w:w="2395" w:type="dxa"/>
            <w:vAlign w:val="center"/>
          </w:tcPr>
          <w:p w14:paraId="70F68AA7">
            <w:pPr>
              <w:widowControl/>
              <w:spacing w:line="270" w:lineRule="exact"/>
              <w:jc w:val="both"/>
              <w:rPr>
                <w:rFonts w:ascii="Times New Roman" w:hAnsi="Times New Roman" w:eastAsia="方正仿宋简体" w:cs="方正仿宋简体"/>
                <w:bCs/>
                <w:sz w:val="24"/>
                <w:szCs w:val="24"/>
                <w:lang w:eastAsia="zh-CN"/>
              </w:rPr>
            </w:pPr>
            <w:r>
              <w:rPr>
                <w:rFonts w:hint="eastAsia" w:ascii="Times New Roman" w:hAnsi="Times New Roman" w:eastAsia="方正仿宋简体" w:cs="方正仿宋简体"/>
                <w:bCs/>
                <w:sz w:val="24"/>
                <w:szCs w:val="24"/>
                <w:lang w:eastAsia="zh-CN"/>
              </w:rPr>
              <w:t>产品形态与质量</w:t>
            </w:r>
          </w:p>
        </w:tc>
        <w:tc>
          <w:tcPr>
            <w:tcW w:w="1694" w:type="dxa"/>
            <w:vAlign w:val="center"/>
          </w:tcPr>
          <w:p w14:paraId="3D3222F4">
            <w:pPr>
              <w:widowControl/>
              <w:spacing w:line="270" w:lineRule="exact"/>
              <w:jc w:val="both"/>
              <w:rPr>
                <w:rFonts w:ascii="Times New Roman" w:hAnsi="Times New Roman" w:eastAsia="方正仿宋简体" w:cs="方正仿宋简体"/>
                <w:bCs/>
                <w:sz w:val="24"/>
                <w:szCs w:val="24"/>
                <w:lang w:eastAsia="zh-CN"/>
              </w:rPr>
            </w:pPr>
            <w:r>
              <w:rPr>
                <w:rFonts w:hint="eastAsia" w:ascii="Times New Roman" w:hAnsi="Times New Roman" w:eastAsia="方正仿宋简体" w:cs="方正仿宋简体"/>
                <w:bCs/>
                <w:sz w:val="24"/>
                <w:szCs w:val="24"/>
                <w:lang w:eastAsia="zh-CN"/>
              </w:rPr>
              <w:t>标准化制剂需求取代传统作坊产品</w:t>
            </w:r>
          </w:p>
        </w:tc>
        <w:tc>
          <w:tcPr>
            <w:tcW w:w="4710" w:type="dxa"/>
            <w:vAlign w:val="center"/>
          </w:tcPr>
          <w:p w14:paraId="4773AEE6">
            <w:pPr>
              <w:widowControl/>
              <w:spacing w:line="270" w:lineRule="exact"/>
              <w:jc w:val="both"/>
              <w:rPr>
                <w:rFonts w:ascii="Times New Roman" w:hAnsi="Times New Roman" w:eastAsia="方正仿宋简体" w:cs="方正仿宋简体"/>
                <w:bCs/>
                <w:sz w:val="24"/>
                <w:szCs w:val="24"/>
                <w:lang w:eastAsia="zh-CN"/>
              </w:rPr>
            </w:pPr>
            <w:r>
              <w:rPr>
                <w:rFonts w:hint="eastAsia" w:ascii="Times New Roman" w:hAnsi="Times New Roman" w:eastAsia="方正仿宋简体" w:cs="方正仿宋简体"/>
                <w:bCs/>
                <w:sz w:val="24"/>
                <w:szCs w:val="24"/>
                <w:lang w:eastAsia="zh-CN"/>
              </w:rPr>
              <w:t>市场对拥有标准批文、质量可控的藏药制剂需求上升。现代化制剂室生产的药品更能获得医疗机构和患者的信任。</w:t>
            </w:r>
          </w:p>
        </w:tc>
      </w:tr>
      <w:tr w14:paraId="5B61E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7" w:hRule="atLeast"/>
        </w:trPr>
        <w:tc>
          <w:tcPr>
            <w:tcW w:w="2395" w:type="dxa"/>
            <w:vAlign w:val="center"/>
          </w:tcPr>
          <w:p w14:paraId="57567FF0">
            <w:pPr>
              <w:widowControl/>
              <w:spacing w:line="270" w:lineRule="exact"/>
              <w:jc w:val="both"/>
              <w:rPr>
                <w:rFonts w:ascii="Times New Roman" w:hAnsi="Times New Roman" w:eastAsia="方正仿宋简体" w:cs="方正仿宋简体"/>
                <w:bCs/>
                <w:sz w:val="24"/>
                <w:szCs w:val="24"/>
                <w:lang w:eastAsia="zh-CN"/>
              </w:rPr>
            </w:pPr>
            <w:r>
              <w:rPr>
                <w:rFonts w:hint="eastAsia" w:ascii="Times New Roman" w:hAnsi="Times New Roman" w:eastAsia="方正仿宋简体" w:cs="方正仿宋简体"/>
                <w:bCs/>
                <w:sz w:val="24"/>
                <w:szCs w:val="24"/>
                <w:lang w:eastAsia="zh-CN"/>
              </w:rPr>
              <w:t>产业融合与消费场景</w:t>
            </w:r>
          </w:p>
        </w:tc>
        <w:tc>
          <w:tcPr>
            <w:tcW w:w="1694" w:type="dxa"/>
            <w:vAlign w:val="center"/>
          </w:tcPr>
          <w:p w14:paraId="2C76EF9B">
            <w:pPr>
              <w:widowControl/>
              <w:spacing w:line="270" w:lineRule="exact"/>
              <w:jc w:val="both"/>
              <w:rPr>
                <w:rFonts w:ascii="Times New Roman" w:hAnsi="Times New Roman" w:eastAsia="方正仿宋简体" w:cs="方正仿宋简体"/>
                <w:bCs/>
                <w:sz w:val="24"/>
                <w:szCs w:val="24"/>
                <w:lang w:eastAsia="zh-CN"/>
              </w:rPr>
            </w:pPr>
            <w:r>
              <w:rPr>
                <w:rFonts w:hint="eastAsia" w:ascii="Times New Roman" w:hAnsi="Times New Roman" w:eastAsia="方正仿宋简体" w:cs="方正仿宋简体"/>
                <w:bCs/>
                <w:sz w:val="24"/>
                <w:szCs w:val="24"/>
                <w:lang w:eastAsia="zh-CN"/>
              </w:rPr>
              <w:t>“藏医药+”模式创造新消费体验</w:t>
            </w:r>
          </w:p>
        </w:tc>
        <w:tc>
          <w:tcPr>
            <w:tcW w:w="4710" w:type="dxa"/>
            <w:vAlign w:val="center"/>
          </w:tcPr>
          <w:p w14:paraId="69D2E9D8">
            <w:pPr>
              <w:widowControl/>
              <w:spacing w:line="270" w:lineRule="exact"/>
              <w:jc w:val="both"/>
              <w:rPr>
                <w:rFonts w:ascii="Times New Roman" w:hAnsi="Times New Roman" w:eastAsia="方正仿宋简体" w:cs="方正仿宋简体"/>
                <w:bCs/>
                <w:sz w:val="24"/>
                <w:szCs w:val="24"/>
                <w:lang w:eastAsia="zh-CN"/>
              </w:rPr>
            </w:pPr>
            <w:r>
              <w:rPr>
                <w:rFonts w:hint="eastAsia" w:ascii="Times New Roman" w:hAnsi="Times New Roman" w:eastAsia="方正仿宋简体" w:cs="方正仿宋简体"/>
                <w:bCs/>
                <w:sz w:val="24"/>
                <w:szCs w:val="24"/>
                <w:lang w:eastAsia="zh-CN"/>
              </w:rPr>
              <w:t>藏医药与文化旅游、康养休闲深度融合，催生了如藏医药文化馆参观、藏医药康养旅游等新消费场景，吸引了更广泛的消费群体。</w:t>
            </w:r>
          </w:p>
        </w:tc>
      </w:tr>
    </w:tbl>
    <w:p w14:paraId="5653FBC6">
      <w:pPr>
        <w:pStyle w:val="8"/>
        <w:overflowPunct w:val="0"/>
        <w:topLinePunct/>
        <w:autoSpaceDE/>
        <w:autoSpaceDN/>
        <w:spacing w:before="0" w:line="576" w:lineRule="exact"/>
        <w:ind w:left="0" w:firstLine="640" w:firstLineChars="200"/>
        <w:jc w:val="both"/>
        <w:outlineLvl w:val="1"/>
        <w:rPr>
          <w:rFonts w:ascii="Times New Roman" w:hAnsi="Times New Roman" w:eastAsia="方正楷体简体" w:cs="方正仿宋简体"/>
          <w:sz w:val="32"/>
          <w:szCs w:val="32"/>
        </w:rPr>
      </w:pPr>
      <w:bookmarkStart w:id="455" w:name="_Toc243241565"/>
      <w:bookmarkStart w:id="456" w:name="OLE_LINK246"/>
      <w:r>
        <w:rPr>
          <w:rFonts w:hint="eastAsia" w:ascii="Times New Roman" w:hAnsi="Times New Roman" w:eastAsia="方正楷体简体" w:cs="方正仿宋简体"/>
          <w:sz w:val="32"/>
          <w:szCs w:val="32"/>
        </w:rPr>
        <w:t>（三）清洁能源产业市场需求变化趋势</w:t>
      </w:r>
      <w:bookmarkEnd w:id="455"/>
    </w:p>
    <w:p w14:paraId="6EEEB6A4">
      <w:pPr>
        <w:spacing w:line="576" w:lineRule="exact"/>
        <w:ind w:firstLine="640" w:firstLineChars="200"/>
        <w:jc w:val="both"/>
        <w:rPr>
          <w:rFonts w:ascii="Times New Roman" w:hAnsi="Times New Roman" w:eastAsia="方正仿宋简体" w:cs="方正仿宋简体"/>
          <w:b/>
          <w:sz w:val="32"/>
          <w:szCs w:val="32"/>
          <w:lang w:eastAsia="zh-CN"/>
        </w:rPr>
      </w:pPr>
      <w:r>
        <w:rPr>
          <w:rFonts w:hint="eastAsia" w:ascii="Times New Roman" w:hAnsi="Times New Roman" w:eastAsia="方正仿宋简体" w:cs="方正仿宋简体"/>
          <w:bCs/>
          <w:sz w:val="32"/>
          <w:szCs w:val="32"/>
          <w:lang w:val="en-US" w:eastAsia="zh-CN"/>
        </w:rPr>
        <w:t>那曲市</w:t>
      </w:r>
      <w:r>
        <w:rPr>
          <w:rFonts w:hint="eastAsia" w:ascii="Times New Roman" w:hAnsi="Times New Roman" w:eastAsia="方正仿宋简体" w:cs="方正仿宋简体"/>
          <w:bCs/>
          <w:sz w:val="32"/>
          <w:szCs w:val="32"/>
          <w:lang w:val="en-US"/>
        </w:rPr>
        <w:t>的清洁能源产业，其市场需求正从满足本地基本用电，向跨区域绿电输送、多元化本地消纳等方向快速扩展。总的来看，那曲市清洁能源产业的市场需求正变得更加多元化、高质量和融合化。驱动这一变化的，不仅是国家“双碳”目标和能源安全战略的外在拉动，更是那曲依托其资源禀赋，主动谋求高质量发展的内在要求。未来，随着“三线一片一区”等空间布局的持续推进，那曲的清洁能源产业有望在带动区域经济发展和促进民生改善方面扮演更重要的角色。</w:t>
      </w:r>
    </w:p>
    <w:p w14:paraId="56E19801">
      <w:pPr>
        <w:spacing w:line="576" w:lineRule="exact"/>
        <w:jc w:val="center"/>
        <w:rPr>
          <w:rFonts w:ascii="Times New Roman" w:hAnsi="Times New Roman" w:eastAsia="方正仿宋简体" w:cs="方正仿宋简体"/>
          <w:bCs/>
          <w:sz w:val="32"/>
          <w:szCs w:val="32"/>
          <w:lang w:val="en-US"/>
        </w:rPr>
      </w:pPr>
      <w:r>
        <w:rPr>
          <w:rFonts w:hint="eastAsia" w:ascii="Times New Roman" w:hAnsi="Times New Roman" w:eastAsia="方正仿宋简体" w:cs="方正仿宋简体"/>
          <w:b/>
          <w:sz w:val="32"/>
          <w:szCs w:val="32"/>
          <w:lang w:eastAsia="zh-CN"/>
        </w:rPr>
        <w:t>那曲市清洁能源产业市场变化趋势</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47"/>
        <w:gridCol w:w="2295"/>
        <w:gridCol w:w="4077"/>
      </w:tblGrid>
      <w:tr w14:paraId="5548D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2447" w:type="dxa"/>
          </w:tcPr>
          <w:p w14:paraId="279143E5">
            <w:pPr>
              <w:widowControl/>
              <w:spacing w:line="352" w:lineRule="exact"/>
              <w:jc w:val="both"/>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需求维度</w:t>
            </w:r>
          </w:p>
        </w:tc>
        <w:tc>
          <w:tcPr>
            <w:tcW w:w="2295" w:type="dxa"/>
          </w:tcPr>
          <w:p w14:paraId="0AE66064">
            <w:pPr>
              <w:widowControl/>
              <w:spacing w:line="352" w:lineRule="exact"/>
              <w:jc w:val="both"/>
              <w:rPr>
                <w:rFonts w:ascii="Times New Roman" w:hAnsi="Times New Roman" w:eastAsia="方正仿宋简体" w:cs="方正仿宋简体"/>
                <w:b/>
                <w:sz w:val="24"/>
                <w:szCs w:val="24"/>
                <w:lang w:eastAsia="zh-CN"/>
              </w:rPr>
            </w:pPr>
            <w:r>
              <w:rPr>
                <w:rFonts w:ascii="Times New Roman" w:hAnsi="Times New Roman" w:eastAsia="方正仿宋简体" w:cs="方正仿宋简体"/>
                <w:b/>
                <w:sz w:val="24"/>
                <w:szCs w:val="24"/>
                <w:lang w:eastAsia="zh-CN"/>
              </w:rPr>
              <w:t>主要趋势</w:t>
            </w:r>
          </w:p>
        </w:tc>
        <w:tc>
          <w:tcPr>
            <w:tcW w:w="4077" w:type="dxa"/>
          </w:tcPr>
          <w:p w14:paraId="430C98A5">
            <w:pPr>
              <w:widowControl/>
              <w:spacing w:line="352" w:lineRule="exact"/>
              <w:jc w:val="both"/>
              <w:rPr>
                <w:rFonts w:ascii="Times New Roman" w:hAnsi="Times New Roman" w:eastAsia="方正仿宋简体" w:cs="方正仿宋简体"/>
                <w:b/>
                <w:sz w:val="24"/>
                <w:szCs w:val="24"/>
                <w:lang w:eastAsia="zh-CN"/>
              </w:rPr>
            </w:pPr>
            <w:r>
              <w:rPr>
                <w:rFonts w:ascii="Times New Roman" w:hAnsi="Times New Roman" w:eastAsia="方正仿宋简体" w:cs="方正仿宋简体"/>
                <w:b/>
                <w:sz w:val="24"/>
                <w:szCs w:val="24"/>
                <w:lang w:eastAsia="zh-CN"/>
              </w:rPr>
              <w:t>具体表现</w:t>
            </w:r>
          </w:p>
        </w:tc>
      </w:tr>
      <w:tr w14:paraId="14BF3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4" w:hRule="atLeast"/>
        </w:trPr>
        <w:tc>
          <w:tcPr>
            <w:tcW w:w="2447" w:type="dxa"/>
            <w:vAlign w:val="center"/>
          </w:tcPr>
          <w:p w14:paraId="66035AB6">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电力外送需求</w:t>
            </w:r>
          </w:p>
        </w:tc>
        <w:tc>
          <w:tcPr>
            <w:tcW w:w="2295" w:type="dxa"/>
            <w:vAlign w:val="center"/>
          </w:tcPr>
          <w:p w14:paraId="29BBF28D">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从“受端电网”向“送端电网”转变。</w:t>
            </w:r>
          </w:p>
        </w:tc>
        <w:tc>
          <w:tcPr>
            <w:tcW w:w="4077" w:type="dxa"/>
            <w:vAlign w:val="center"/>
          </w:tcPr>
          <w:p w14:paraId="2A54DD6C">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2023年首次实现“那电外送”，2025年外送电量显著增长。这表明那曲的绿色电力已成为更广阔市场的商品。</w:t>
            </w:r>
          </w:p>
        </w:tc>
      </w:tr>
      <w:tr w14:paraId="4E4D1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4" w:hRule="atLeast"/>
        </w:trPr>
        <w:tc>
          <w:tcPr>
            <w:tcW w:w="2447" w:type="dxa"/>
            <w:vAlign w:val="center"/>
          </w:tcPr>
          <w:p w14:paraId="067B0598">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本地清洁消纳需求</w:t>
            </w:r>
          </w:p>
        </w:tc>
        <w:tc>
          <w:tcPr>
            <w:tcW w:w="2295" w:type="dxa"/>
            <w:vAlign w:val="center"/>
          </w:tcPr>
          <w:p w14:paraId="3892403B">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从“用上电”到“用好电”升级。</w:t>
            </w:r>
          </w:p>
        </w:tc>
        <w:tc>
          <w:tcPr>
            <w:tcW w:w="4077" w:type="dxa"/>
            <w:vAlign w:val="center"/>
          </w:tcPr>
          <w:p w14:paraId="5DB6F11F">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全社会用电量快速增长，特别是地热集中供暖和农牧民家电普及，推动稳定、经济、低碳的用能需求。</w:t>
            </w:r>
          </w:p>
        </w:tc>
      </w:tr>
      <w:tr w14:paraId="2BB5F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4" w:hRule="atLeast"/>
        </w:trPr>
        <w:tc>
          <w:tcPr>
            <w:tcW w:w="2447" w:type="dxa"/>
            <w:vAlign w:val="center"/>
          </w:tcPr>
          <w:p w14:paraId="7F45D70D">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多元化应用场景需求</w:t>
            </w:r>
          </w:p>
        </w:tc>
        <w:tc>
          <w:tcPr>
            <w:tcW w:w="2295" w:type="dxa"/>
            <w:vAlign w:val="center"/>
          </w:tcPr>
          <w:p w14:paraId="35580190">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从单一发电向多能互补、多领域融合拓展。</w:t>
            </w:r>
          </w:p>
        </w:tc>
        <w:tc>
          <w:tcPr>
            <w:tcW w:w="4077" w:type="dxa"/>
            <w:vAlign w:val="center"/>
          </w:tcPr>
          <w:p w14:paraId="0C40C443">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为保障电网稳定，对构网型储能、光热发电、氢能等技术和“牧光互补”等模式需求上升，以实现发电连续性并提升综合效益。</w:t>
            </w:r>
          </w:p>
        </w:tc>
      </w:tr>
      <w:tr w14:paraId="414AA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2447" w:type="dxa"/>
            <w:vAlign w:val="center"/>
          </w:tcPr>
          <w:p w14:paraId="7E7ACB8D">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产业带动与增收需求</w:t>
            </w:r>
          </w:p>
        </w:tc>
        <w:tc>
          <w:tcPr>
            <w:tcW w:w="2295" w:type="dxa"/>
            <w:vAlign w:val="center"/>
          </w:tcPr>
          <w:p w14:paraId="47DFD8B5">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从能源产业本身向拉动地方经济延伸。</w:t>
            </w:r>
          </w:p>
        </w:tc>
        <w:tc>
          <w:tcPr>
            <w:tcW w:w="4077" w:type="dxa"/>
            <w:vAlign w:val="center"/>
          </w:tcPr>
          <w:p w14:paraId="71897496">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清洁能源项目在建设和运营中，通过支付草原租金、提供就业岗位、发放工资和分红等方式，为当地民众带来实实在在的收入。</w:t>
            </w:r>
          </w:p>
        </w:tc>
      </w:tr>
      <w:bookmarkEnd w:id="456"/>
    </w:tbl>
    <w:p w14:paraId="670480FE">
      <w:pPr>
        <w:pStyle w:val="8"/>
        <w:overflowPunct w:val="0"/>
        <w:topLinePunct/>
        <w:autoSpaceDE/>
        <w:autoSpaceDN/>
        <w:spacing w:before="0" w:line="576" w:lineRule="exact"/>
        <w:ind w:left="0" w:firstLine="640" w:firstLineChars="200"/>
        <w:jc w:val="both"/>
        <w:outlineLvl w:val="1"/>
        <w:rPr>
          <w:rFonts w:ascii="Times New Roman" w:hAnsi="Times New Roman" w:eastAsia="方正楷体简体" w:cs="方正楷体简体"/>
          <w:sz w:val="32"/>
          <w:szCs w:val="32"/>
        </w:rPr>
      </w:pPr>
      <w:bookmarkStart w:id="457" w:name="_Toc243241566"/>
      <w:r>
        <w:rPr>
          <w:rFonts w:hint="eastAsia" w:ascii="Times New Roman" w:hAnsi="Times New Roman" w:eastAsia="方正楷体简体" w:cs="方正楷体简体"/>
          <w:sz w:val="32"/>
          <w:szCs w:val="32"/>
        </w:rPr>
        <w:t>（四）生态文旅产业市场需求变化趋势</w:t>
      </w:r>
      <w:bookmarkEnd w:id="457"/>
    </w:p>
    <w:p w14:paraId="32D57B6C">
      <w:pPr>
        <w:spacing w:line="576" w:lineRule="exact"/>
        <w:ind w:firstLine="640" w:firstLineChars="200"/>
        <w:jc w:val="both"/>
        <w:rPr>
          <w:rFonts w:ascii="Times New Roman" w:hAnsi="Times New Roman" w:eastAsia="方正仿宋简体" w:cs="方正仿宋简体"/>
          <w:bCs/>
          <w:sz w:val="32"/>
          <w:szCs w:val="32"/>
          <w:lang w:val="en-US"/>
        </w:rPr>
      </w:pPr>
      <w:r>
        <w:rPr>
          <w:rFonts w:hint="eastAsia" w:ascii="Times New Roman" w:hAnsi="Times New Roman" w:eastAsia="方正仿宋简体" w:cs="方正仿宋简体"/>
          <w:bCs/>
          <w:sz w:val="32"/>
          <w:szCs w:val="32"/>
          <w:lang w:val="en-US" w:eastAsia="zh-CN"/>
        </w:rPr>
        <w:t>那曲市</w:t>
      </w:r>
      <w:r>
        <w:rPr>
          <w:rFonts w:ascii="Times New Roman" w:hAnsi="Times New Roman" w:eastAsia="方正仿宋简体" w:cs="方正仿宋简体"/>
          <w:bCs/>
          <w:sz w:val="32"/>
          <w:szCs w:val="32"/>
          <w:lang w:val="en-US"/>
        </w:rPr>
        <w:t>的生态文旅产业，其市场需求正从相对单一的自然观光，向深度文化体验、生态休闲度假、圈层科考探险</w:t>
      </w:r>
      <w:r>
        <w:rPr>
          <w:rFonts w:hint="eastAsia" w:ascii="Times New Roman" w:hAnsi="Times New Roman" w:eastAsia="方正仿宋简体" w:cs="方正仿宋简体"/>
          <w:bCs/>
          <w:sz w:val="32"/>
          <w:szCs w:val="32"/>
          <w:lang w:val="en-US"/>
        </w:rPr>
        <w:t>（专业化）</w:t>
      </w:r>
      <w:r>
        <w:rPr>
          <w:rFonts w:ascii="Times New Roman" w:hAnsi="Times New Roman" w:eastAsia="方正仿宋简体" w:cs="方正仿宋简体"/>
          <w:bCs/>
          <w:sz w:val="32"/>
          <w:szCs w:val="32"/>
          <w:lang w:val="en-US"/>
        </w:rPr>
        <w:t>、定制化体验</w:t>
      </w:r>
      <w:r>
        <w:rPr>
          <w:rFonts w:hint="eastAsia" w:ascii="Times New Roman" w:hAnsi="Times New Roman" w:eastAsia="方正仿宋简体" w:cs="方正仿宋简体"/>
          <w:bCs/>
          <w:sz w:val="32"/>
          <w:szCs w:val="32"/>
          <w:lang w:val="en-US"/>
        </w:rPr>
        <w:t>（个性化）</w:t>
      </w:r>
      <w:r>
        <w:rPr>
          <w:rFonts w:ascii="Times New Roman" w:hAnsi="Times New Roman" w:eastAsia="方正仿宋简体" w:cs="方正仿宋简体"/>
          <w:bCs/>
          <w:sz w:val="32"/>
          <w:szCs w:val="32"/>
          <w:lang w:val="en-US"/>
        </w:rPr>
        <w:t>快速演变。面向未来，那曲市生态文旅产业也面临一些需要持续关注和突破的挑战，例如如何更好地平衡旅游活动的季节性问题，以及如何进一步通过智慧旅游平台建设来提升游客体验和产业效率。</w:t>
      </w:r>
    </w:p>
    <w:p w14:paraId="42ECAE55">
      <w:pPr>
        <w:spacing w:line="576" w:lineRule="exact"/>
        <w:jc w:val="center"/>
        <w:rPr>
          <w:rFonts w:ascii="Times New Roman" w:hAnsi="Times New Roman" w:eastAsia="方正仿宋简体" w:cs="方正仿宋简体"/>
          <w:bCs/>
          <w:sz w:val="32"/>
          <w:szCs w:val="32"/>
          <w:lang w:val="en-US"/>
        </w:rPr>
      </w:pPr>
      <w:r>
        <w:rPr>
          <w:rFonts w:hint="eastAsia" w:ascii="Times New Roman" w:hAnsi="Times New Roman" w:eastAsia="方正仿宋简体" w:cs="方正仿宋简体"/>
          <w:b/>
          <w:sz w:val="32"/>
          <w:szCs w:val="32"/>
          <w:lang w:eastAsia="zh-CN"/>
        </w:rPr>
        <w:t>那曲市生态文旅产业市场变化趋势</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1"/>
        <w:gridCol w:w="1979"/>
        <w:gridCol w:w="5598"/>
      </w:tblGrid>
      <w:tr w14:paraId="77D8D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1201" w:type="dxa"/>
          </w:tcPr>
          <w:p w14:paraId="0CE8D364">
            <w:pPr>
              <w:widowControl/>
              <w:spacing w:line="352"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需求维度</w:t>
            </w:r>
          </w:p>
        </w:tc>
        <w:tc>
          <w:tcPr>
            <w:tcW w:w="1979" w:type="dxa"/>
          </w:tcPr>
          <w:p w14:paraId="5B025501">
            <w:pPr>
              <w:widowControl/>
              <w:spacing w:line="352" w:lineRule="exact"/>
              <w:jc w:val="center"/>
              <w:rPr>
                <w:rFonts w:ascii="Times New Roman" w:hAnsi="Times New Roman" w:eastAsia="方正仿宋简体" w:cs="方正仿宋简体"/>
                <w:b/>
                <w:sz w:val="24"/>
                <w:szCs w:val="24"/>
                <w:lang w:eastAsia="zh-CN"/>
              </w:rPr>
            </w:pPr>
            <w:r>
              <w:rPr>
                <w:rFonts w:ascii="Times New Roman" w:hAnsi="Times New Roman" w:eastAsia="方正仿宋简体" w:cs="方正仿宋简体"/>
                <w:b/>
                <w:sz w:val="24"/>
                <w:szCs w:val="24"/>
                <w:lang w:eastAsia="zh-CN"/>
              </w:rPr>
              <w:t>主要趋势</w:t>
            </w:r>
          </w:p>
        </w:tc>
        <w:tc>
          <w:tcPr>
            <w:tcW w:w="5598" w:type="dxa"/>
          </w:tcPr>
          <w:p w14:paraId="0383F19E">
            <w:pPr>
              <w:widowControl/>
              <w:spacing w:line="352" w:lineRule="exact"/>
              <w:jc w:val="center"/>
              <w:rPr>
                <w:rFonts w:ascii="Times New Roman" w:hAnsi="Times New Roman" w:eastAsia="方正仿宋简体" w:cs="方正仿宋简体"/>
                <w:b/>
                <w:sz w:val="24"/>
                <w:szCs w:val="24"/>
                <w:lang w:eastAsia="zh-CN"/>
              </w:rPr>
            </w:pPr>
            <w:r>
              <w:rPr>
                <w:rFonts w:ascii="Times New Roman" w:hAnsi="Times New Roman" w:eastAsia="方正仿宋简体" w:cs="方正仿宋简体"/>
                <w:b/>
                <w:sz w:val="24"/>
                <w:szCs w:val="24"/>
                <w:lang w:eastAsia="zh-CN"/>
              </w:rPr>
              <w:t>具体表现</w:t>
            </w:r>
          </w:p>
        </w:tc>
      </w:tr>
      <w:tr w14:paraId="2CA8D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3" w:hRule="atLeast"/>
        </w:trPr>
        <w:tc>
          <w:tcPr>
            <w:tcW w:w="1201" w:type="dxa"/>
            <w:vAlign w:val="center"/>
          </w:tcPr>
          <w:p w14:paraId="55AC58C2">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市场规模与消费力</w:t>
            </w:r>
          </w:p>
        </w:tc>
        <w:tc>
          <w:tcPr>
            <w:tcW w:w="1979" w:type="dxa"/>
            <w:vAlign w:val="center"/>
          </w:tcPr>
          <w:p w14:paraId="4FD5DE05">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高速增长，量质齐升。</w:t>
            </w:r>
          </w:p>
        </w:tc>
        <w:tc>
          <w:tcPr>
            <w:tcW w:w="5598" w:type="dxa"/>
            <w:vAlign w:val="center"/>
          </w:tcPr>
          <w:p w14:paraId="5AB353F6">
            <w:pPr>
              <w:widowControl/>
              <w:spacing w:line="270" w:lineRule="exact"/>
              <w:jc w:val="both"/>
              <w:rPr>
                <w:rFonts w:ascii="Times New Roman" w:hAnsi="Times New Roman" w:eastAsia="方正仿宋简体" w:cs="方正仿宋简体"/>
                <w:bCs/>
                <w:sz w:val="21"/>
                <w:szCs w:val="21"/>
                <w:lang w:eastAsia="zh-CN"/>
              </w:rPr>
            </w:pPr>
            <w:bookmarkStart w:id="458" w:name="OLE_LINK8"/>
            <w:r>
              <w:rPr>
                <w:rFonts w:hint="eastAsia" w:ascii="Times New Roman" w:hAnsi="Times New Roman" w:eastAsia="方正仿宋简体" w:cs="方正仿宋简体"/>
                <w:bCs/>
                <w:sz w:val="21"/>
                <w:szCs w:val="21"/>
                <w:lang w:val="en-US" w:eastAsia="zh-CN"/>
              </w:rPr>
              <w:t>2025年那曲市文旅市场持续回暖提质，全年累计接待游客294.35万人次、同比增长34.34%，实现旅游总收入9.57亿元、同比增长31.9%。</w:t>
            </w:r>
            <w:r>
              <w:rPr>
                <w:rFonts w:hint="eastAsia" w:ascii="Times New Roman" w:hAnsi="Times New Roman" w:eastAsia="方正仿宋简体" w:cs="方正仿宋简体"/>
                <w:bCs/>
                <w:sz w:val="21"/>
                <w:szCs w:val="21"/>
                <w:lang w:eastAsia="zh-CN"/>
              </w:rPr>
              <w:t>增速均高于接待人次增速，消费能力增强。</w:t>
            </w:r>
            <w:bookmarkEnd w:id="458"/>
          </w:p>
        </w:tc>
      </w:tr>
      <w:tr w14:paraId="087E1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9" w:hRule="atLeast"/>
        </w:trPr>
        <w:tc>
          <w:tcPr>
            <w:tcW w:w="1201" w:type="dxa"/>
            <w:vAlign w:val="center"/>
          </w:tcPr>
          <w:p w14:paraId="6572A826">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旅游动机与偏好</w:t>
            </w:r>
          </w:p>
        </w:tc>
        <w:tc>
          <w:tcPr>
            <w:tcW w:w="1979" w:type="dxa"/>
            <w:vAlign w:val="center"/>
          </w:tcPr>
          <w:p w14:paraId="7AA9A0D4">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从“看风景”到“品文化”，深度体验受青睐。</w:t>
            </w:r>
          </w:p>
        </w:tc>
        <w:tc>
          <w:tcPr>
            <w:tcW w:w="5598" w:type="dxa"/>
            <w:vAlign w:val="center"/>
          </w:tcPr>
          <w:p w14:paraId="588BDBDA">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游客愈发向往羌塘草原文化、羌塘象雄遗址、非遗项目（如骷髅墙）等独特人文资源。比如县凭借非遗文化和萨普雪山成功吸引游客，正是这一趋势的体现。</w:t>
            </w:r>
          </w:p>
        </w:tc>
      </w:tr>
      <w:tr w14:paraId="297C9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8" w:hRule="atLeast"/>
        </w:trPr>
        <w:tc>
          <w:tcPr>
            <w:tcW w:w="1201" w:type="dxa"/>
            <w:vAlign w:val="center"/>
          </w:tcPr>
          <w:p w14:paraId="6851E940">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目的地选择</w:t>
            </w:r>
          </w:p>
        </w:tc>
        <w:tc>
          <w:tcPr>
            <w:tcW w:w="1979" w:type="dxa"/>
            <w:vAlign w:val="center"/>
          </w:tcPr>
          <w:p w14:paraId="296E2022">
            <w:pPr>
              <w:widowControl/>
              <w:spacing w:line="270" w:lineRule="exact"/>
              <w:jc w:val="both"/>
              <w:rPr>
                <w:rFonts w:ascii="Times New Roman" w:hAnsi="Times New Roman" w:eastAsia="方正仿宋简体" w:cs="方正仿宋简体"/>
                <w:bCs/>
                <w:sz w:val="21"/>
                <w:szCs w:val="21"/>
                <w:lang w:eastAsia="zh-CN"/>
              </w:rPr>
            </w:pPr>
          </w:p>
          <w:p w14:paraId="00D370B4">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县域旅游崛起，特色景区成为新引擎。</w:t>
            </w:r>
          </w:p>
        </w:tc>
        <w:tc>
          <w:tcPr>
            <w:tcW w:w="5598" w:type="dxa"/>
            <w:vAlign w:val="center"/>
          </w:tcPr>
          <w:p w14:paraId="4A974D48">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旅游热点从市中心向各县扩散。比如县萨普景区成功获评国家4A级景区，成为吸引游客的核心动力。这表明特色鲜明的顶级自然景观结合文化内涵的景区，对市场有强大吸引力。</w:t>
            </w:r>
          </w:p>
        </w:tc>
      </w:tr>
      <w:tr w14:paraId="36198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6" w:hRule="atLeast"/>
        </w:trPr>
        <w:tc>
          <w:tcPr>
            <w:tcW w:w="1201" w:type="dxa"/>
            <w:vAlign w:val="center"/>
          </w:tcPr>
          <w:p w14:paraId="2CA85F63">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产品与服务期待</w:t>
            </w:r>
          </w:p>
        </w:tc>
        <w:tc>
          <w:tcPr>
            <w:tcW w:w="1979" w:type="dxa"/>
            <w:vAlign w:val="center"/>
          </w:tcPr>
          <w:p w14:paraId="52601DF9">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追求品质、专业与个性化。</w:t>
            </w:r>
          </w:p>
        </w:tc>
        <w:tc>
          <w:tcPr>
            <w:tcW w:w="5598" w:type="dxa"/>
            <w:vAlign w:val="center"/>
          </w:tcPr>
          <w:p w14:paraId="4C6ABE76">
            <w:pPr>
              <w:widowControl/>
              <w:spacing w:line="270" w:lineRule="exact"/>
              <w:jc w:val="both"/>
              <w:rPr>
                <w:rFonts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随着那拉高速等交通干线通车，自驾游、小团体、自由行成为主流。游客对高海拔旅游保障（如供氧酒店、急救体系）、专业讲解、特色民宿（如文部乡30家家庭旅馆）的需求日益迫切。</w:t>
            </w:r>
          </w:p>
        </w:tc>
      </w:tr>
    </w:tbl>
    <w:p w14:paraId="0CAA1142">
      <w:pPr>
        <w:pStyle w:val="8"/>
        <w:overflowPunct w:val="0"/>
        <w:topLinePunct/>
        <w:autoSpaceDE/>
        <w:autoSpaceDN/>
        <w:spacing w:before="0" w:line="576" w:lineRule="exact"/>
        <w:ind w:left="0" w:firstLine="640" w:firstLineChars="200"/>
        <w:jc w:val="both"/>
        <w:outlineLvl w:val="1"/>
        <w:rPr>
          <w:rFonts w:ascii="Times New Roman" w:hAnsi="Times New Roman" w:eastAsia="方正楷体简体" w:cs="方正楷体简体"/>
          <w:sz w:val="32"/>
          <w:szCs w:val="32"/>
        </w:rPr>
      </w:pPr>
      <w:bookmarkStart w:id="459" w:name="_Toc243241567"/>
      <w:r>
        <w:rPr>
          <w:rFonts w:hint="eastAsia" w:ascii="Times New Roman" w:hAnsi="Times New Roman" w:eastAsia="方正楷体简体" w:cs="方正楷体简体"/>
          <w:sz w:val="32"/>
          <w:szCs w:val="32"/>
        </w:rPr>
        <w:t>（五）绿色矿产业市场需求变化趋势</w:t>
      </w:r>
      <w:bookmarkEnd w:id="459"/>
    </w:p>
    <w:p w14:paraId="7364CA4B">
      <w:pPr>
        <w:spacing w:line="576" w:lineRule="exact"/>
        <w:ind w:firstLine="640" w:firstLineChars="200"/>
        <w:jc w:val="both"/>
        <w:rPr>
          <w:rFonts w:ascii="Times New Roman" w:hAnsi="Times New Roman" w:eastAsia="方正仿宋简体" w:cs="方正仿宋简体"/>
          <w:bCs/>
          <w:sz w:val="32"/>
          <w:szCs w:val="32"/>
          <w:lang w:val="en-US"/>
        </w:rPr>
      </w:pPr>
      <w:r>
        <w:rPr>
          <w:rFonts w:hint="eastAsia" w:ascii="Times New Roman" w:hAnsi="Times New Roman" w:eastAsia="方正仿宋简体" w:cs="方正仿宋简体"/>
          <w:bCs/>
          <w:sz w:val="32"/>
          <w:szCs w:val="32"/>
          <w:lang w:val="en-US" w:eastAsia="zh-CN"/>
        </w:rPr>
        <w:t>那曲市</w:t>
      </w:r>
      <w:r>
        <w:rPr>
          <w:rFonts w:ascii="Times New Roman" w:hAnsi="Times New Roman" w:eastAsia="方正仿宋简体" w:cs="方正仿宋简体"/>
          <w:bCs/>
          <w:sz w:val="32"/>
          <w:szCs w:val="32"/>
          <w:lang w:val="en-US"/>
        </w:rPr>
        <w:t>的绿色矿产业，其市场需求正从过去偏重资源开采，向绿色化、智能化、高附加值的综合开发转变。</w:t>
      </w:r>
      <w:r>
        <w:rPr>
          <w:rFonts w:hint="eastAsia" w:ascii="Times New Roman" w:hAnsi="Times New Roman" w:eastAsia="方正仿宋简体" w:cs="方正仿宋简体"/>
          <w:bCs/>
          <w:sz w:val="32"/>
          <w:szCs w:val="32"/>
          <w:lang w:val="en-US"/>
        </w:rPr>
        <w:t>高海拔、生态脆弱等自然条件对矿业开发提出苛刻要求，但也为那些能够攻克这些难题、实现绿色发展的企业构筑了竞争壁垒，创造了市场机遇。</w:t>
      </w:r>
      <w:r>
        <w:rPr>
          <w:rFonts w:ascii="Times New Roman" w:hAnsi="Times New Roman" w:eastAsia="方正仿宋简体" w:cs="方正仿宋简体"/>
          <w:bCs/>
          <w:sz w:val="32"/>
          <w:szCs w:val="32"/>
          <w:lang w:val="en-US"/>
        </w:rPr>
        <w:t>下面这张表格梳理了核心的趋势变化。</w:t>
      </w:r>
    </w:p>
    <w:p w14:paraId="7CB19DB9">
      <w:pPr>
        <w:spacing w:line="576" w:lineRule="exact"/>
        <w:jc w:val="center"/>
        <w:rPr>
          <w:rFonts w:ascii="Times New Roman" w:hAnsi="Times New Roman" w:eastAsia="方正仿宋简体" w:cs="方正仿宋简体"/>
          <w:bCs/>
          <w:sz w:val="32"/>
          <w:szCs w:val="32"/>
          <w:lang w:val="en-US"/>
        </w:rPr>
      </w:pPr>
      <w:bookmarkStart w:id="460" w:name="OLE_LINK51"/>
      <w:r>
        <w:rPr>
          <w:rFonts w:hint="eastAsia" w:ascii="Times New Roman" w:hAnsi="Times New Roman" w:eastAsia="方正仿宋简体" w:cs="方正仿宋简体"/>
          <w:b/>
          <w:sz w:val="32"/>
          <w:szCs w:val="32"/>
          <w:lang w:eastAsia="zh-CN"/>
        </w:rPr>
        <w:t>那曲市绿色矿产业市场变化趋势</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8"/>
        <w:gridCol w:w="2286"/>
        <w:gridCol w:w="5145"/>
      </w:tblGrid>
      <w:tr w14:paraId="2A31D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1388" w:type="dxa"/>
            <w:vAlign w:val="center"/>
          </w:tcPr>
          <w:p w14:paraId="44FCB36C">
            <w:pPr>
              <w:widowControl/>
              <w:spacing w:line="352"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需求维度</w:t>
            </w:r>
          </w:p>
        </w:tc>
        <w:tc>
          <w:tcPr>
            <w:tcW w:w="2286" w:type="dxa"/>
            <w:vAlign w:val="center"/>
          </w:tcPr>
          <w:p w14:paraId="2D7C21C2">
            <w:pPr>
              <w:widowControl/>
              <w:spacing w:line="352" w:lineRule="exact"/>
              <w:jc w:val="center"/>
              <w:rPr>
                <w:rFonts w:ascii="Times New Roman" w:hAnsi="Times New Roman" w:eastAsia="方正仿宋简体" w:cs="方正仿宋简体"/>
                <w:b/>
                <w:sz w:val="24"/>
                <w:szCs w:val="24"/>
                <w:lang w:eastAsia="zh-CN"/>
              </w:rPr>
            </w:pPr>
            <w:r>
              <w:rPr>
                <w:rFonts w:ascii="Times New Roman" w:hAnsi="Times New Roman" w:eastAsia="方正仿宋简体" w:cs="方正仿宋简体"/>
                <w:b/>
                <w:sz w:val="24"/>
                <w:szCs w:val="24"/>
                <w:lang w:eastAsia="zh-CN"/>
              </w:rPr>
              <w:t>主要趋势</w:t>
            </w:r>
          </w:p>
        </w:tc>
        <w:tc>
          <w:tcPr>
            <w:tcW w:w="5145" w:type="dxa"/>
            <w:vAlign w:val="center"/>
          </w:tcPr>
          <w:p w14:paraId="0E27DC0F">
            <w:pPr>
              <w:widowControl/>
              <w:spacing w:line="352" w:lineRule="exact"/>
              <w:jc w:val="center"/>
              <w:rPr>
                <w:rFonts w:ascii="Times New Roman" w:hAnsi="Times New Roman" w:eastAsia="方正仿宋简体" w:cs="方正仿宋简体"/>
                <w:b/>
                <w:sz w:val="24"/>
                <w:szCs w:val="24"/>
                <w:lang w:eastAsia="zh-CN"/>
              </w:rPr>
            </w:pPr>
            <w:r>
              <w:rPr>
                <w:rFonts w:ascii="Times New Roman" w:hAnsi="Times New Roman" w:eastAsia="方正仿宋简体" w:cs="方正仿宋简体"/>
                <w:b/>
                <w:sz w:val="24"/>
                <w:szCs w:val="24"/>
                <w:lang w:eastAsia="zh-CN"/>
              </w:rPr>
              <w:t>具体表现</w:t>
            </w:r>
          </w:p>
        </w:tc>
      </w:tr>
      <w:tr w14:paraId="5F002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5" w:hRule="atLeast"/>
        </w:trPr>
        <w:tc>
          <w:tcPr>
            <w:tcW w:w="1388" w:type="dxa"/>
            <w:vAlign w:val="center"/>
          </w:tcPr>
          <w:p w14:paraId="542B53D3">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开发模式</w:t>
            </w:r>
          </w:p>
        </w:tc>
        <w:tc>
          <w:tcPr>
            <w:tcW w:w="2286" w:type="dxa"/>
            <w:vAlign w:val="center"/>
          </w:tcPr>
          <w:p w14:paraId="1D3B9E4C">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从“资源消耗”到“绿色可持续”。</w:t>
            </w:r>
          </w:p>
        </w:tc>
        <w:tc>
          <w:tcPr>
            <w:tcW w:w="5145" w:type="dxa"/>
            <w:vAlign w:val="center"/>
          </w:tcPr>
          <w:p w14:paraId="13347884">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市场需求更青睐具备绿色矿山资质、采用环保技术（如高效选矿、废水循环、矿区生态修复）的开采方式。政策对绿色矿山在矿产配置、用地、财税上有倾斜。</w:t>
            </w:r>
          </w:p>
        </w:tc>
      </w:tr>
      <w:tr w14:paraId="0B65F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5" w:hRule="atLeast"/>
        </w:trPr>
        <w:tc>
          <w:tcPr>
            <w:tcW w:w="1388" w:type="dxa"/>
            <w:vAlign w:val="center"/>
          </w:tcPr>
          <w:p w14:paraId="2506C5D2">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资源利用</w:t>
            </w:r>
          </w:p>
        </w:tc>
        <w:tc>
          <w:tcPr>
            <w:tcW w:w="2286" w:type="dxa"/>
            <w:vAlign w:val="center"/>
          </w:tcPr>
          <w:p w14:paraId="0FDFC0AA">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从“粗放开采”到“高效综合利用”。</w:t>
            </w:r>
          </w:p>
        </w:tc>
        <w:tc>
          <w:tcPr>
            <w:tcW w:w="5145" w:type="dxa"/>
            <w:vAlign w:val="center"/>
          </w:tcPr>
          <w:p w14:paraId="15EEF627">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对低品位矿、共伴生矿（如银等贵金属）的综合回收利用需求上升。这既能提升资源价值，也符合绿色矿业要求。</w:t>
            </w:r>
          </w:p>
        </w:tc>
      </w:tr>
      <w:tr w14:paraId="37BA4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5" w:hRule="atLeast"/>
        </w:trPr>
        <w:tc>
          <w:tcPr>
            <w:tcW w:w="1388" w:type="dxa"/>
            <w:vAlign w:val="center"/>
          </w:tcPr>
          <w:p w14:paraId="621155F8">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产业协同</w:t>
            </w:r>
          </w:p>
        </w:tc>
        <w:tc>
          <w:tcPr>
            <w:tcW w:w="2286" w:type="dxa"/>
            <w:vAlign w:val="center"/>
          </w:tcPr>
          <w:p w14:paraId="4E1C05E7">
            <w:pPr>
              <w:widowControl/>
              <w:spacing w:line="270" w:lineRule="exact"/>
              <w:jc w:val="both"/>
              <w:rPr>
                <w:rFonts w:ascii="Times New Roman" w:hAnsi="Times New Roman" w:eastAsia="方正仿宋简体" w:cs="方正仿宋简体"/>
                <w:bCs/>
                <w:sz w:val="21"/>
                <w:szCs w:val="21"/>
                <w:lang w:eastAsia="zh-CN"/>
              </w:rPr>
            </w:pPr>
          </w:p>
          <w:p w14:paraId="241B3D98">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从“单一采矿”到“融合发展”。</w:t>
            </w:r>
          </w:p>
        </w:tc>
        <w:tc>
          <w:tcPr>
            <w:tcW w:w="5145" w:type="dxa"/>
            <w:vAlign w:val="center"/>
          </w:tcPr>
          <w:p w14:paraId="4416BF6B">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矿区清洁能源配套（如配套光伏电站）需求增长，旨在降低碳足迹。绿色矿山建设也与生态旅游等理念更紧密结合。</w:t>
            </w:r>
          </w:p>
        </w:tc>
      </w:tr>
      <w:tr w14:paraId="1F50F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5" w:hRule="atLeast"/>
        </w:trPr>
        <w:tc>
          <w:tcPr>
            <w:tcW w:w="1388" w:type="dxa"/>
            <w:vAlign w:val="center"/>
          </w:tcPr>
          <w:p w14:paraId="0008892E">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技术装备</w:t>
            </w:r>
          </w:p>
        </w:tc>
        <w:tc>
          <w:tcPr>
            <w:tcW w:w="2286" w:type="dxa"/>
            <w:vAlign w:val="center"/>
          </w:tcPr>
          <w:p w14:paraId="62836919">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从“传统人工”到“智能化、</w:t>
            </w:r>
            <w:r>
              <w:rPr>
                <w:rFonts w:ascii="Times New Roman" w:hAnsi="Times New Roman" w:eastAsia="方正仿宋简体" w:cs="方正仿宋简体"/>
                <w:bCs/>
                <w:sz w:val="21"/>
                <w:szCs w:val="21"/>
                <w:lang w:eastAsia="zh-CN"/>
              </w:rPr>
              <w:t>高海拔环境适配</w:t>
            </w:r>
            <w:r>
              <w:rPr>
                <w:rFonts w:hint="eastAsia" w:ascii="Times New Roman" w:hAnsi="Times New Roman" w:eastAsia="方正仿宋简体" w:cs="方正仿宋简体"/>
                <w:bCs/>
                <w:sz w:val="21"/>
                <w:szCs w:val="21"/>
                <w:lang w:eastAsia="zh-CN"/>
              </w:rPr>
              <w:t>”。</w:t>
            </w:r>
          </w:p>
        </w:tc>
        <w:tc>
          <w:tcPr>
            <w:tcW w:w="5145" w:type="dxa"/>
            <w:vAlign w:val="center"/>
          </w:tcPr>
          <w:p w14:paraId="6663D78C">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高海拔特殊环境催生了对智能化采矿设备（如无人驾驶矿卡）、高原适应性技术（如冻土施工、低压环境作业技术）以及安全监测系统的需求。</w:t>
            </w:r>
          </w:p>
        </w:tc>
      </w:tr>
      <w:tr w14:paraId="588AA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trPr>
        <w:tc>
          <w:tcPr>
            <w:tcW w:w="1388" w:type="dxa"/>
            <w:vAlign w:val="center"/>
          </w:tcPr>
          <w:p w14:paraId="008C863F">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产品价值</w:t>
            </w:r>
          </w:p>
        </w:tc>
        <w:tc>
          <w:tcPr>
            <w:tcW w:w="2286" w:type="dxa"/>
            <w:vAlign w:val="center"/>
          </w:tcPr>
          <w:p w14:paraId="2A06BEA8">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从“原矿外销”到“战略保供原料”。</w:t>
            </w:r>
          </w:p>
        </w:tc>
        <w:tc>
          <w:tcPr>
            <w:tcW w:w="5145" w:type="dxa"/>
            <w:vAlign w:val="center"/>
          </w:tcPr>
          <w:p w14:paraId="5FCD0D78">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作为战略性基础金属，锌、铜等精矿在基建、新能源、储能等领域需求刚性显著，市场对其稳定供应和品质有较高要求。</w:t>
            </w:r>
          </w:p>
        </w:tc>
      </w:tr>
      <w:bookmarkEnd w:id="460"/>
    </w:tbl>
    <w:p w14:paraId="59A1D633">
      <w:pPr>
        <w:pStyle w:val="8"/>
        <w:overflowPunct w:val="0"/>
        <w:topLinePunct/>
        <w:autoSpaceDE/>
        <w:autoSpaceDN/>
        <w:spacing w:before="0" w:line="576" w:lineRule="exact"/>
        <w:ind w:left="0" w:firstLine="640" w:firstLineChars="200"/>
        <w:jc w:val="both"/>
        <w:outlineLvl w:val="1"/>
        <w:rPr>
          <w:rFonts w:ascii="Times New Roman" w:hAnsi="Times New Roman" w:eastAsia="方正楷体简体" w:cs="方正楷体简体"/>
          <w:sz w:val="32"/>
          <w:szCs w:val="32"/>
        </w:rPr>
      </w:pPr>
      <w:bookmarkStart w:id="461" w:name="_Toc243241568"/>
      <w:r>
        <w:rPr>
          <w:rFonts w:hint="eastAsia" w:ascii="Times New Roman" w:hAnsi="Times New Roman" w:eastAsia="方正楷体简体" w:cs="方正楷体简体"/>
          <w:sz w:val="32"/>
          <w:szCs w:val="32"/>
        </w:rPr>
        <w:t>（六）交通物流产业市场需求变化趋势</w:t>
      </w:r>
      <w:bookmarkEnd w:id="461"/>
    </w:p>
    <w:p w14:paraId="30A343DC">
      <w:pPr>
        <w:spacing w:line="576" w:lineRule="exact"/>
        <w:ind w:firstLine="640" w:firstLineChars="200"/>
        <w:jc w:val="both"/>
        <w:rPr>
          <w:rFonts w:ascii="Times New Roman" w:hAnsi="Times New Roman" w:eastAsia="方正仿宋简体" w:cs="方正仿宋简体"/>
          <w:bCs/>
          <w:sz w:val="32"/>
          <w:szCs w:val="32"/>
          <w:lang w:val="en-US"/>
        </w:rPr>
      </w:pPr>
      <w:r>
        <w:rPr>
          <w:rFonts w:hint="eastAsia" w:ascii="Times New Roman" w:hAnsi="Times New Roman" w:eastAsia="方正仿宋简体" w:cs="方正仿宋简体"/>
          <w:bCs/>
          <w:sz w:val="32"/>
          <w:szCs w:val="32"/>
          <w:lang w:val="en-US" w:eastAsia="zh-CN"/>
        </w:rPr>
        <w:t>那曲市</w:t>
      </w:r>
      <w:r>
        <w:rPr>
          <w:rFonts w:ascii="Times New Roman" w:hAnsi="Times New Roman" w:eastAsia="方正仿宋简体" w:cs="方正仿宋简体"/>
          <w:bCs/>
          <w:sz w:val="32"/>
          <w:szCs w:val="32"/>
          <w:lang w:val="en-US"/>
        </w:rPr>
        <w:t>的交通物流产业，其市场需求正从过去满足基础流通，向高效、普惠、协同的现代化流通体系快速演进。其核心驱动力来自交通基础设施的显著改善、电商的深入发展以及区域经济的融合需求。</w:t>
      </w:r>
      <w:r>
        <w:rPr>
          <w:rFonts w:hint="eastAsia" w:ascii="Times New Roman" w:hAnsi="Times New Roman" w:eastAsia="方正仿宋简体" w:cs="方正仿宋简体"/>
          <w:bCs/>
          <w:sz w:val="32"/>
          <w:szCs w:val="32"/>
          <w:lang w:val="en-US"/>
        </w:rPr>
        <w:t>在</w:t>
      </w:r>
      <w:r>
        <w:rPr>
          <w:rFonts w:ascii="Times New Roman" w:hAnsi="Times New Roman" w:eastAsia="方正仿宋简体" w:cs="方正仿宋简体"/>
          <w:bCs/>
          <w:sz w:val="32"/>
          <w:szCs w:val="32"/>
          <w:lang w:val="en-US"/>
        </w:rPr>
        <w:t>技术驱动和市场需求变化共同作用，正推动那曲的交通物流产业从一个相对薄弱的环节，转变成为支撑地区经济高质量发展、助力乡村振兴的战略性产业。</w:t>
      </w:r>
    </w:p>
    <w:p w14:paraId="026F26E4">
      <w:pPr>
        <w:spacing w:line="576" w:lineRule="exact"/>
        <w:jc w:val="center"/>
        <w:rPr>
          <w:rFonts w:ascii="Times New Roman" w:hAnsi="Times New Roman" w:eastAsia="方正仿宋简体" w:cs="方正仿宋简体"/>
          <w:bCs/>
          <w:sz w:val="32"/>
          <w:szCs w:val="32"/>
          <w:lang w:val="en-US"/>
        </w:rPr>
      </w:pPr>
      <w:r>
        <w:rPr>
          <w:rFonts w:hint="eastAsia" w:ascii="Times New Roman" w:hAnsi="Times New Roman" w:eastAsia="方正仿宋简体" w:cs="方正仿宋简体"/>
          <w:b/>
          <w:sz w:val="32"/>
          <w:szCs w:val="32"/>
          <w:lang w:eastAsia="zh-CN"/>
        </w:rPr>
        <w:t>那曲市交通物流产业市场变化趋势</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6"/>
        <w:gridCol w:w="2410"/>
        <w:gridCol w:w="4729"/>
      </w:tblGrid>
      <w:tr w14:paraId="761B5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1696" w:type="dxa"/>
            <w:vAlign w:val="center"/>
          </w:tcPr>
          <w:p w14:paraId="7D33B5BE">
            <w:pPr>
              <w:widowControl/>
              <w:spacing w:line="270"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需求维度</w:t>
            </w:r>
          </w:p>
        </w:tc>
        <w:tc>
          <w:tcPr>
            <w:tcW w:w="2410" w:type="dxa"/>
            <w:vAlign w:val="center"/>
          </w:tcPr>
          <w:p w14:paraId="43D02DB7">
            <w:pPr>
              <w:widowControl/>
              <w:spacing w:line="270" w:lineRule="exact"/>
              <w:jc w:val="center"/>
              <w:rPr>
                <w:rFonts w:ascii="Times New Roman" w:hAnsi="Times New Roman" w:eastAsia="方正仿宋简体" w:cs="方正仿宋简体"/>
                <w:b/>
                <w:sz w:val="24"/>
                <w:szCs w:val="24"/>
                <w:lang w:eastAsia="zh-CN"/>
              </w:rPr>
            </w:pPr>
            <w:r>
              <w:rPr>
                <w:rFonts w:ascii="Times New Roman" w:hAnsi="Times New Roman" w:eastAsia="方正仿宋简体" w:cs="方正仿宋简体"/>
                <w:b/>
                <w:sz w:val="24"/>
                <w:szCs w:val="24"/>
                <w:lang w:eastAsia="zh-CN"/>
              </w:rPr>
              <w:t>主要趋势</w:t>
            </w:r>
          </w:p>
        </w:tc>
        <w:tc>
          <w:tcPr>
            <w:tcW w:w="4729" w:type="dxa"/>
            <w:vAlign w:val="center"/>
          </w:tcPr>
          <w:p w14:paraId="2476A16B">
            <w:pPr>
              <w:widowControl/>
              <w:spacing w:line="270" w:lineRule="exact"/>
              <w:jc w:val="center"/>
              <w:rPr>
                <w:rFonts w:ascii="Times New Roman" w:hAnsi="Times New Roman" w:eastAsia="方正仿宋简体" w:cs="方正仿宋简体"/>
                <w:b/>
                <w:sz w:val="24"/>
                <w:szCs w:val="24"/>
                <w:lang w:eastAsia="zh-CN"/>
              </w:rPr>
            </w:pPr>
            <w:r>
              <w:rPr>
                <w:rFonts w:ascii="Times New Roman" w:hAnsi="Times New Roman" w:eastAsia="方正仿宋简体" w:cs="方正仿宋简体"/>
                <w:b/>
                <w:sz w:val="24"/>
                <w:szCs w:val="24"/>
                <w:lang w:eastAsia="zh-CN"/>
              </w:rPr>
              <w:t>具体表现</w:t>
            </w:r>
          </w:p>
        </w:tc>
      </w:tr>
      <w:tr w14:paraId="315F6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4" w:hRule="atLeast"/>
        </w:trPr>
        <w:tc>
          <w:tcPr>
            <w:tcW w:w="1696" w:type="dxa"/>
            <w:vAlign w:val="center"/>
          </w:tcPr>
          <w:p w14:paraId="1278C333">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基础物流需求</w:t>
            </w:r>
          </w:p>
        </w:tc>
        <w:tc>
          <w:tcPr>
            <w:tcW w:w="2410" w:type="dxa"/>
            <w:vAlign w:val="center"/>
          </w:tcPr>
          <w:p w14:paraId="3DE52DF4">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从“运得了”到“运得好、运得广”。</w:t>
            </w:r>
          </w:p>
        </w:tc>
        <w:tc>
          <w:tcPr>
            <w:tcW w:w="4729" w:type="dxa"/>
            <w:vAlign w:val="center"/>
          </w:tcPr>
          <w:p w14:paraId="1C20CCD9">
            <w:pPr>
              <w:widowControl/>
              <w:spacing w:line="270" w:lineRule="exact"/>
              <w:jc w:val="both"/>
              <w:rPr>
                <w:rFonts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G349等交通干线升级后，尼屋乡的藏香猪、林下灵芝等特产得以通过快递发往全国，同时推动了乡村旅游民宿收入翻倍。寄递物流企业也开通了从那曲直达全国各地的专线服务。</w:t>
            </w:r>
          </w:p>
        </w:tc>
      </w:tr>
      <w:tr w14:paraId="69C7E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3" w:hRule="atLeast"/>
        </w:trPr>
        <w:tc>
          <w:tcPr>
            <w:tcW w:w="1696" w:type="dxa"/>
            <w:vAlign w:val="center"/>
          </w:tcPr>
          <w:p w14:paraId="34068BC8">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电商物流需求</w:t>
            </w:r>
          </w:p>
        </w:tc>
        <w:tc>
          <w:tcPr>
            <w:tcW w:w="2410" w:type="dxa"/>
            <w:vAlign w:val="center"/>
          </w:tcPr>
          <w:p w14:paraId="7A2D4E58">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从“购不到”到“购全国、送那曲”。</w:t>
            </w:r>
          </w:p>
        </w:tc>
        <w:tc>
          <w:tcPr>
            <w:tcW w:w="4729" w:type="dxa"/>
            <w:vAlign w:val="center"/>
          </w:tcPr>
          <w:p w14:paraId="37238C3E">
            <w:pPr>
              <w:widowControl/>
              <w:spacing w:line="270" w:lineRule="exact"/>
              <w:jc w:val="both"/>
              <w:rPr>
                <w:rFonts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电商平台推行包邮政策后，那曲居民可以便捷网购智利车厘子、东北冻梨等新鲜水果和各地年货，物流时效从过去的7-10天缩短到3天左右。同时，西部地区的优质牛羊肉等特产也加速走向全国市场。</w:t>
            </w:r>
          </w:p>
        </w:tc>
      </w:tr>
      <w:tr w14:paraId="460AA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4" w:hRule="atLeast"/>
        </w:trPr>
        <w:tc>
          <w:tcPr>
            <w:tcW w:w="1696" w:type="dxa"/>
            <w:vAlign w:val="center"/>
          </w:tcPr>
          <w:p w14:paraId="35E2E291">
            <w:pPr>
              <w:widowControl/>
              <w:spacing w:line="270" w:lineRule="exact"/>
              <w:jc w:val="both"/>
              <w:rPr>
                <w:rFonts w:ascii="Times New Roman" w:hAnsi="Times New Roman" w:eastAsia="方正仿宋简体" w:cs="方正仿宋简体"/>
                <w:bCs/>
                <w:sz w:val="21"/>
                <w:szCs w:val="21"/>
                <w:lang w:eastAsia="zh-CN"/>
              </w:rPr>
            </w:pPr>
            <w:bookmarkStart w:id="462" w:name="_Hlk237603906"/>
            <w:r>
              <w:rPr>
                <w:rFonts w:hint="eastAsia" w:ascii="Times New Roman" w:hAnsi="Times New Roman" w:eastAsia="方正仿宋简体" w:cs="方正仿宋简体"/>
                <w:bCs/>
                <w:sz w:val="21"/>
                <w:szCs w:val="21"/>
                <w:lang w:eastAsia="zh-CN"/>
              </w:rPr>
              <w:t>产业物流需求</w:t>
            </w:r>
          </w:p>
        </w:tc>
        <w:tc>
          <w:tcPr>
            <w:tcW w:w="2410" w:type="dxa"/>
            <w:vAlign w:val="center"/>
          </w:tcPr>
          <w:p w14:paraId="5C1A9AE2">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从单一运输向“物流+产业”深度融合。</w:t>
            </w:r>
          </w:p>
        </w:tc>
        <w:tc>
          <w:tcPr>
            <w:tcW w:w="4729" w:type="dxa"/>
            <w:vAlign w:val="center"/>
          </w:tcPr>
          <w:p w14:paraId="03B4B183">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eastAsia="zh-CN"/>
              </w:rPr>
              <w:t>青藏铁路那曲物流中心作为重要枢纽，功能涵盖散堆装物流区、综合物流区及生产加工区，形成集仓储、运输、分拨于一体的现代化物流体系，服务矿产、农畜产品等大宗商品。</w:t>
            </w:r>
          </w:p>
        </w:tc>
      </w:tr>
      <w:bookmarkEnd w:id="462"/>
      <w:tr w14:paraId="3B90A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4" w:hRule="atLeast"/>
        </w:trPr>
        <w:tc>
          <w:tcPr>
            <w:tcW w:w="1696" w:type="dxa"/>
            <w:vAlign w:val="center"/>
          </w:tcPr>
          <w:p w14:paraId="21BBAF0E">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城乡配送需求</w:t>
            </w:r>
          </w:p>
        </w:tc>
        <w:tc>
          <w:tcPr>
            <w:tcW w:w="2410" w:type="dxa"/>
            <w:vAlign w:val="center"/>
          </w:tcPr>
          <w:p w14:paraId="383779CA">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从“下乡难”到“双向畅通”。</w:t>
            </w:r>
          </w:p>
        </w:tc>
        <w:tc>
          <w:tcPr>
            <w:tcW w:w="4729" w:type="dxa"/>
            <w:vAlign w:val="center"/>
          </w:tcPr>
          <w:p w14:paraId="4347FBB8">
            <w:pPr>
              <w:widowControl/>
              <w:spacing w:line="270" w:lineRule="exact"/>
              <w:jc w:val="both"/>
              <w:rPr>
                <w:rFonts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政府正着力构建县乡村三级寄递物流网络，通过“邮快合作”“交邮融合”等模式，旨在破解高原物流“最后一公里”难题，畅通“工业品下乡、农产品进城”的双向通道。</w:t>
            </w:r>
          </w:p>
        </w:tc>
      </w:tr>
      <w:tr w14:paraId="530F1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9" w:hRule="atLeast"/>
        </w:trPr>
        <w:tc>
          <w:tcPr>
            <w:tcW w:w="1696" w:type="dxa"/>
            <w:vAlign w:val="center"/>
          </w:tcPr>
          <w:p w14:paraId="37F04062">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区域战略需求</w:t>
            </w:r>
          </w:p>
        </w:tc>
        <w:tc>
          <w:tcPr>
            <w:tcW w:w="2410" w:type="dxa"/>
            <w:vAlign w:val="center"/>
          </w:tcPr>
          <w:p w14:paraId="16E2B669">
            <w:pPr>
              <w:widowControl/>
              <w:spacing w:line="270" w:lineRule="exact"/>
              <w:jc w:val="both"/>
              <w:rPr>
                <w:rFonts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eastAsia="zh-CN"/>
              </w:rPr>
              <w:t>从地方网络向区域枢纽升级</w:t>
            </w:r>
          </w:p>
        </w:tc>
        <w:tc>
          <w:tcPr>
            <w:tcW w:w="4729" w:type="dxa"/>
            <w:vAlign w:val="center"/>
          </w:tcPr>
          <w:p w14:paraId="127CA693">
            <w:pPr>
              <w:widowControl/>
              <w:spacing w:line="270" w:lineRule="exact"/>
              <w:jc w:val="both"/>
              <w:rPr>
                <w:rFonts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那曲市正凭借其作为西藏陆路交通“十字路口”的区位优势，加快物流产业布局，目标打造成为区域物流中心，服务“一带一路”倡议。</w:t>
            </w:r>
          </w:p>
        </w:tc>
      </w:tr>
    </w:tbl>
    <w:p w14:paraId="0466DF4F">
      <w:pPr>
        <w:pStyle w:val="8"/>
        <w:overflowPunct w:val="0"/>
        <w:topLinePunct/>
        <w:autoSpaceDE/>
        <w:autoSpaceDN/>
        <w:spacing w:before="0" w:line="576" w:lineRule="exact"/>
        <w:ind w:left="0" w:firstLine="640" w:firstLineChars="200"/>
        <w:jc w:val="both"/>
        <w:outlineLvl w:val="1"/>
        <w:rPr>
          <w:rFonts w:ascii="Times New Roman" w:hAnsi="Times New Roman" w:eastAsia="方正楷体简体" w:cs="方正楷体简体"/>
          <w:sz w:val="32"/>
          <w:szCs w:val="32"/>
        </w:rPr>
      </w:pPr>
      <w:bookmarkStart w:id="463" w:name="_Toc243241569"/>
      <w:r>
        <w:rPr>
          <w:rFonts w:hint="eastAsia" w:ascii="Times New Roman" w:hAnsi="Times New Roman" w:eastAsia="方正楷体简体" w:cs="方正楷体简体"/>
          <w:sz w:val="32"/>
          <w:szCs w:val="32"/>
        </w:rPr>
        <w:t>（七）民族手工业市场需求变化趋势</w:t>
      </w:r>
      <w:bookmarkEnd w:id="463"/>
    </w:p>
    <w:p w14:paraId="79918B39">
      <w:pPr>
        <w:spacing w:line="576" w:lineRule="exact"/>
        <w:ind w:firstLine="640" w:firstLineChars="200"/>
        <w:jc w:val="both"/>
        <w:rPr>
          <w:rFonts w:hint="eastAsia" w:ascii="方正仿宋简体" w:hAnsi="方正仿宋简体" w:eastAsia="方正仿宋简体" w:cs="方正仿宋简体"/>
          <w:bCs/>
          <w:sz w:val="32"/>
          <w:szCs w:val="32"/>
          <w:lang w:val="en-US"/>
        </w:rPr>
      </w:pPr>
      <w:r>
        <w:rPr>
          <w:rFonts w:hint="eastAsia" w:ascii="方正仿宋简体" w:hAnsi="方正仿宋简体" w:eastAsia="方正仿宋简体" w:cs="方正仿宋简体"/>
          <w:bCs/>
          <w:sz w:val="32"/>
          <w:szCs w:val="32"/>
          <w:lang w:val="en-US" w:eastAsia="zh-CN"/>
        </w:rPr>
        <w:t>那曲市</w:t>
      </w:r>
      <w:r>
        <w:rPr>
          <w:rFonts w:ascii="方正仿宋简体" w:hAnsi="方正仿宋简体" w:eastAsia="方正仿宋简体" w:cs="方正仿宋简体"/>
          <w:bCs/>
          <w:sz w:val="32"/>
          <w:szCs w:val="32"/>
          <w:lang w:val="en-US"/>
        </w:rPr>
        <w:t>的民族手工业，其市场需求正从过去相对单一和本地化，向多元化、品牌化、全国化甚至国际化快速演变。那曲民族手工业的市场需求正在政策引导、技术赋能和品牌创新的合力驱动下，向更广阔的市场、更多元的形态升级。这一趋势不仅提升了产业的经济效益，通过“</w:t>
      </w:r>
      <w:r>
        <w:rPr>
          <w:rFonts w:hint="eastAsia" w:ascii="方正仿宋简体" w:hAnsi="方正仿宋简体" w:eastAsia="方正仿宋简体" w:cs="方正仿宋简体"/>
          <w:bCs/>
          <w:sz w:val="32"/>
          <w:szCs w:val="32"/>
          <w:lang w:val="en-US"/>
        </w:rPr>
        <w:t>龙头企业+手工艺专业合作社+非遗家庭作坊</w:t>
      </w:r>
      <w:r>
        <w:rPr>
          <w:rFonts w:ascii="方正仿宋简体" w:hAnsi="方正仿宋简体" w:eastAsia="方正仿宋简体" w:cs="方正仿宋简体"/>
          <w:bCs/>
          <w:sz w:val="32"/>
          <w:szCs w:val="32"/>
          <w:lang w:val="en-US"/>
        </w:rPr>
        <w:t>”等模式有效带动了农牧民增收，也为传统技艺的传承注入了新的生命力。</w:t>
      </w:r>
    </w:p>
    <w:p w14:paraId="5F970C61">
      <w:pPr>
        <w:spacing w:line="576" w:lineRule="exact"/>
        <w:jc w:val="center"/>
        <w:rPr>
          <w:rFonts w:ascii="Times New Roman" w:hAnsi="Times New Roman" w:eastAsia="方正仿宋简体" w:cs="方正仿宋简体"/>
          <w:bCs/>
          <w:sz w:val="32"/>
          <w:szCs w:val="32"/>
          <w:lang w:val="en-US"/>
        </w:rPr>
      </w:pPr>
      <w:r>
        <w:rPr>
          <w:rFonts w:hint="eastAsia" w:ascii="Times New Roman" w:hAnsi="Times New Roman" w:eastAsia="方正仿宋简体" w:cs="方正仿宋简体"/>
          <w:b/>
          <w:sz w:val="32"/>
          <w:szCs w:val="32"/>
          <w:lang w:eastAsia="zh-CN"/>
        </w:rPr>
        <w:t>那曲市民族手工业市场变化趋势</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3"/>
        <w:gridCol w:w="2514"/>
        <w:gridCol w:w="4632"/>
      </w:tblGrid>
      <w:tr w14:paraId="53FBE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1673" w:type="dxa"/>
            <w:vAlign w:val="center"/>
          </w:tcPr>
          <w:p w14:paraId="40C2DD0D">
            <w:pPr>
              <w:widowControl/>
              <w:spacing w:line="352" w:lineRule="exact"/>
              <w:jc w:val="both"/>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需求维度</w:t>
            </w:r>
          </w:p>
        </w:tc>
        <w:tc>
          <w:tcPr>
            <w:tcW w:w="2514" w:type="dxa"/>
            <w:vAlign w:val="center"/>
          </w:tcPr>
          <w:p w14:paraId="0EA70036">
            <w:pPr>
              <w:widowControl/>
              <w:spacing w:line="352" w:lineRule="exact"/>
              <w:jc w:val="both"/>
              <w:rPr>
                <w:rFonts w:ascii="Times New Roman" w:hAnsi="Times New Roman" w:eastAsia="方正仿宋简体" w:cs="方正仿宋简体"/>
                <w:b/>
                <w:sz w:val="24"/>
                <w:szCs w:val="24"/>
                <w:lang w:eastAsia="zh-CN"/>
              </w:rPr>
            </w:pPr>
            <w:r>
              <w:rPr>
                <w:rFonts w:ascii="Times New Roman" w:hAnsi="Times New Roman" w:eastAsia="方正仿宋简体" w:cs="方正仿宋简体"/>
                <w:b/>
                <w:sz w:val="24"/>
                <w:szCs w:val="24"/>
                <w:lang w:eastAsia="zh-CN"/>
              </w:rPr>
              <w:t>主要趋势</w:t>
            </w:r>
          </w:p>
        </w:tc>
        <w:tc>
          <w:tcPr>
            <w:tcW w:w="4632" w:type="dxa"/>
            <w:vAlign w:val="center"/>
          </w:tcPr>
          <w:p w14:paraId="37BFCBD8">
            <w:pPr>
              <w:widowControl/>
              <w:spacing w:line="352" w:lineRule="exact"/>
              <w:jc w:val="both"/>
              <w:rPr>
                <w:rFonts w:ascii="Times New Roman" w:hAnsi="Times New Roman" w:eastAsia="方正仿宋简体" w:cs="方正仿宋简体"/>
                <w:b/>
                <w:sz w:val="24"/>
                <w:szCs w:val="24"/>
                <w:lang w:eastAsia="zh-CN"/>
              </w:rPr>
            </w:pPr>
            <w:r>
              <w:rPr>
                <w:rFonts w:ascii="Times New Roman" w:hAnsi="Times New Roman" w:eastAsia="方正仿宋简体" w:cs="方正仿宋简体"/>
                <w:b/>
                <w:sz w:val="24"/>
                <w:szCs w:val="24"/>
                <w:lang w:eastAsia="zh-CN"/>
              </w:rPr>
              <w:t>具体表现</w:t>
            </w:r>
          </w:p>
        </w:tc>
      </w:tr>
      <w:tr w14:paraId="495F4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1" w:hRule="atLeast"/>
        </w:trPr>
        <w:tc>
          <w:tcPr>
            <w:tcW w:w="1673" w:type="dxa"/>
            <w:vAlign w:val="center"/>
          </w:tcPr>
          <w:p w14:paraId="0203DDA1">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产品需求</w:t>
            </w:r>
          </w:p>
        </w:tc>
        <w:tc>
          <w:tcPr>
            <w:tcW w:w="2514" w:type="dxa"/>
            <w:vAlign w:val="center"/>
          </w:tcPr>
          <w:p w14:paraId="695A1518">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从实用品到文创礼品，功能与审美并重。</w:t>
            </w:r>
          </w:p>
        </w:tc>
        <w:tc>
          <w:tcPr>
            <w:tcW w:w="4632" w:type="dxa"/>
            <w:vAlign w:val="center"/>
          </w:tcPr>
          <w:p w14:paraId="3FE82EFC">
            <w:pPr>
              <w:widowControl/>
              <w:spacing w:line="270" w:lineRule="exact"/>
              <w:jc w:val="both"/>
              <w:rPr>
                <w:rFonts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藏式挎包、靠垫等手工艺品，既保留牧区特色，也作为文创礼品受游客青睐。酸奶桶、挤奶桶等传统生活器具，经创意设计成为家居摆件。</w:t>
            </w:r>
          </w:p>
        </w:tc>
      </w:tr>
      <w:tr w14:paraId="04DB0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1" w:hRule="atLeast"/>
        </w:trPr>
        <w:tc>
          <w:tcPr>
            <w:tcW w:w="1673" w:type="dxa"/>
            <w:vAlign w:val="center"/>
          </w:tcPr>
          <w:p w14:paraId="684B576E">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销售渠道</w:t>
            </w:r>
          </w:p>
        </w:tc>
        <w:tc>
          <w:tcPr>
            <w:tcW w:w="2514" w:type="dxa"/>
            <w:vAlign w:val="center"/>
          </w:tcPr>
          <w:p w14:paraId="2D65FC0A">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从线下集市到线上全域，电商直播是关键。</w:t>
            </w:r>
          </w:p>
        </w:tc>
        <w:tc>
          <w:tcPr>
            <w:tcW w:w="4632" w:type="dxa"/>
            <w:vAlign w:val="center"/>
          </w:tcPr>
          <w:p w14:paraId="3C82E6BF">
            <w:pPr>
              <w:widowControl/>
              <w:spacing w:line="270" w:lineRule="exact"/>
              <w:jc w:val="both"/>
              <w:rPr>
                <w:rFonts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“网红电商”在畜产品展销会等平台通过直播推介产品。手工艺合作社与物流公司合作，打通农村电商“最后一公里”。</w:t>
            </w:r>
          </w:p>
        </w:tc>
      </w:tr>
      <w:tr w14:paraId="0317B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trPr>
        <w:tc>
          <w:tcPr>
            <w:tcW w:w="1673" w:type="dxa"/>
            <w:vAlign w:val="center"/>
          </w:tcPr>
          <w:p w14:paraId="60F91604">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消费群体</w:t>
            </w:r>
          </w:p>
        </w:tc>
        <w:tc>
          <w:tcPr>
            <w:tcW w:w="2514" w:type="dxa"/>
            <w:vAlign w:val="center"/>
          </w:tcPr>
          <w:p w14:paraId="4ECE9269">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从本地牧民到全国乃至国际消费者。</w:t>
            </w:r>
          </w:p>
        </w:tc>
        <w:tc>
          <w:tcPr>
            <w:tcW w:w="4632" w:type="dxa"/>
            <w:vAlign w:val="center"/>
          </w:tcPr>
          <w:p w14:paraId="65D3A2C1">
            <w:pPr>
              <w:widowControl/>
              <w:spacing w:line="270" w:lineRule="exact"/>
              <w:jc w:val="both"/>
              <w:rPr>
                <w:rFonts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哈多村合作社手工织带亮相杭州亚运会。西藏长荣娜秀集团服装产品出口至泰国、柬埔寨等国。</w:t>
            </w:r>
          </w:p>
        </w:tc>
      </w:tr>
      <w:tr w14:paraId="3F464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9" w:hRule="atLeast"/>
        </w:trPr>
        <w:tc>
          <w:tcPr>
            <w:tcW w:w="1673" w:type="dxa"/>
            <w:vAlign w:val="center"/>
          </w:tcPr>
          <w:p w14:paraId="3F4B83B0">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产业模式</w:t>
            </w:r>
          </w:p>
        </w:tc>
        <w:tc>
          <w:tcPr>
            <w:tcW w:w="2514" w:type="dxa"/>
            <w:vAlign w:val="center"/>
          </w:tcPr>
          <w:p w14:paraId="4F07D307">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从家庭作坊到现代企业，标准化与规模化。</w:t>
            </w:r>
          </w:p>
        </w:tc>
        <w:tc>
          <w:tcPr>
            <w:tcW w:w="4632" w:type="dxa"/>
            <w:vAlign w:val="center"/>
          </w:tcPr>
          <w:p w14:paraId="7A378716">
            <w:pPr>
              <w:widowControl/>
              <w:spacing w:line="270" w:lineRule="exact"/>
              <w:jc w:val="both"/>
              <w:rPr>
                <w:rFonts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西藏长荣娜秀集团建成5G数字链智慧服装工厂，实现标准化、规模化生产，产品远销国内外。</w:t>
            </w:r>
          </w:p>
        </w:tc>
      </w:tr>
    </w:tbl>
    <w:p w14:paraId="05D72A28">
      <w:pPr>
        <w:pStyle w:val="8"/>
        <w:overflowPunct w:val="0"/>
        <w:topLinePunct/>
        <w:autoSpaceDE/>
        <w:autoSpaceDN/>
        <w:spacing w:before="0" w:line="576" w:lineRule="exact"/>
        <w:ind w:left="0" w:firstLine="640" w:firstLineChars="200"/>
        <w:jc w:val="both"/>
        <w:outlineLvl w:val="1"/>
        <w:rPr>
          <w:rFonts w:ascii="Times New Roman" w:hAnsi="Times New Roman" w:eastAsia="方正楷体简体" w:cs="方正楷体简体"/>
          <w:sz w:val="32"/>
          <w:szCs w:val="32"/>
        </w:rPr>
      </w:pPr>
      <w:bookmarkStart w:id="464" w:name="_Toc243241570"/>
      <w:bookmarkStart w:id="465" w:name="OLE_LINK244"/>
      <w:r>
        <w:rPr>
          <w:rFonts w:hint="eastAsia" w:ascii="Times New Roman" w:hAnsi="Times New Roman" w:eastAsia="方正楷体简体" w:cs="方正楷体简体"/>
          <w:sz w:val="32"/>
          <w:szCs w:val="32"/>
        </w:rPr>
        <w:t>（八）高原特色种植业市场需求变化趋势</w:t>
      </w:r>
      <w:bookmarkEnd w:id="464"/>
    </w:p>
    <w:bookmarkEnd w:id="465"/>
    <w:p w14:paraId="2A78FD3A">
      <w:pPr>
        <w:spacing w:line="576" w:lineRule="exact"/>
        <w:ind w:firstLine="640" w:firstLineChars="200"/>
        <w:jc w:val="both"/>
        <w:rPr>
          <w:rFonts w:hint="eastAsia" w:ascii="方正仿宋简体" w:hAnsi="方正仿宋简体" w:eastAsia="方正仿宋简体" w:cs="方正仿宋简体"/>
          <w:bCs/>
          <w:sz w:val="32"/>
          <w:szCs w:val="32"/>
          <w:lang w:val="en-US"/>
        </w:rPr>
      </w:pPr>
      <w:r>
        <w:rPr>
          <w:rFonts w:hint="eastAsia" w:ascii="方正仿宋简体" w:hAnsi="方正仿宋简体" w:eastAsia="方正仿宋简体" w:cs="方正仿宋简体"/>
          <w:bCs/>
          <w:sz w:val="32"/>
          <w:szCs w:val="32"/>
          <w:lang w:val="en-US" w:eastAsia="zh-CN"/>
        </w:rPr>
        <w:t>那曲市</w:t>
      </w:r>
      <w:r>
        <w:rPr>
          <w:rFonts w:hint="eastAsia" w:ascii="方正仿宋简体" w:hAnsi="方正仿宋简体" w:eastAsia="方正仿宋简体" w:cs="方正仿宋简体"/>
          <w:bCs/>
          <w:sz w:val="32"/>
          <w:szCs w:val="32"/>
          <w:lang w:val="en-US"/>
        </w:rPr>
        <w:t>的高原特色种植业，其市场需求正从过去满足基本生存需要，向高品质、多元化、高附加值的方向快速演进。那曲高原特色种植业的市场需求正在政策引导、科技赋能和渠道创新的合力驱动下，向更广阔的市场、更多元的形态升级。未来，这一产业有望在“特”和“精”上做足文章，通过持续的技术创新和品牌塑造，将极端环境带来的挑战转化为生产高质量、高附加值产品的独特优势，从而在带动农牧民增收和乡村振兴方面发挥更重要的作用。</w:t>
      </w:r>
    </w:p>
    <w:p w14:paraId="7E97527D">
      <w:pPr>
        <w:spacing w:line="576" w:lineRule="exact"/>
        <w:jc w:val="center"/>
        <w:rPr>
          <w:rFonts w:ascii="Times New Roman" w:hAnsi="Times New Roman" w:eastAsia="方正仿宋简体" w:cs="方正仿宋简体"/>
          <w:b/>
          <w:sz w:val="32"/>
          <w:szCs w:val="32"/>
          <w:lang w:val="en-US" w:eastAsia="zh-CN"/>
        </w:rPr>
      </w:pPr>
      <w:bookmarkStart w:id="466" w:name="OLE_LINK247"/>
      <w:r>
        <w:rPr>
          <w:rFonts w:hint="eastAsia" w:ascii="Times New Roman" w:hAnsi="Times New Roman" w:eastAsia="方正仿宋简体" w:cs="方正仿宋简体"/>
          <w:b/>
          <w:sz w:val="32"/>
          <w:szCs w:val="32"/>
          <w:lang w:eastAsia="zh-CN"/>
        </w:rPr>
        <w:t>那曲市高原特色种植业市场变化趋势</w:t>
      </w:r>
    </w:p>
    <w:tbl>
      <w:tblPr>
        <w:tblStyle w:val="22"/>
        <w:tblW w:w="88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9"/>
        <w:gridCol w:w="2294"/>
        <w:gridCol w:w="5115"/>
      </w:tblGrid>
      <w:tr w14:paraId="27057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1409" w:type="dxa"/>
          </w:tcPr>
          <w:p w14:paraId="0E447D00">
            <w:pPr>
              <w:widowControl/>
              <w:spacing w:line="352"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需求维度</w:t>
            </w:r>
          </w:p>
        </w:tc>
        <w:tc>
          <w:tcPr>
            <w:tcW w:w="2294" w:type="dxa"/>
          </w:tcPr>
          <w:p w14:paraId="747C1894">
            <w:pPr>
              <w:widowControl/>
              <w:spacing w:line="352" w:lineRule="exact"/>
              <w:jc w:val="center"/>
              <w:rPr>
                <w:rFonts w:ascii="Times New Roman" w:hAnsi="Times New Roman" w:eastAsia="方正仿宋简体" w:cs="方正仿宋简体"/>
                <w:b/>
                <w:sz w:val="24"/>
                <w:szCs w:val="24"/>
                <w:lang w:eastAsia="zh-CN"/>
              </w:rPr>
            </w:pPr>
            <w:r>
              <w:rPr>
                <w:rFonts w:ascii="Times New Roman" w:hAnsi="Times New Roman" w:eastAsia="方正仿宋简体" w:cs="方正仿宋简体"/>
                <w:b/>
                <w:sz w:val="24"/>
                <w:szCs w:val="24"/>
                <w:lang w:eastAsia="zh-CN"/>
              </w:rPr>
              <w:t>主要趋势</w:t>
            </w:r>
          </w:p>
        </w:tc>
        <w:tc>
          <w:tcPr>
            <w:tcW w:w="5115" w:type="dxa"/>
          </w:tcPr>
          <w:p w14:paraId="57C7CCB7">
            <w:pPr>
              <w:widowControl/>
              <w:spacing w:line="352" w:lineRule="exact"/>
              <w:jc w:val="center"/>
              <w:rPr>
                <w:rFonts w:ascii="Times New Roman" w:hAnsi="Times New Roman" w:eastAsia="方正仿宋简体" w:cs="方正仿宋简体"/>
                <w:b/>
                <w:sz w:val="24"/>
                <w:szCs w:val="24"/>
                <w:lang w:eastAsia="zh-CN"/>
              </w:rPr>
            </w:pPr>
            <w:r>
              <w:rPr>
                <w:rFonts w:ascii="Times New Roman" w:hAnsi="Times New Roman" w:eastAsia="方正仿宋简体" w:cs="方正仿宋简体"/>
                <w:b/>
                <w:sz w:val="24"/>
                <w:szCs w:val="24"/>
                <w:lang w:eastAsia="zh-CN"/>
              </w:rPr>
              <w:t>具体表现</w:t>
            </w:r>
          </w:p>
        </w:tc>
      </w:tr>
      <w:tr w14:paraId="73819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8" w:hRule="atLeast"/>
        </w:trPr>
        <w:tc>
          <w:tcPr>
            <w:tcW w:w="1409" w:type="dxa"/>
            <w:vAlign w:val="center"/>
          </w:tcPr>
          <w:p w14:paraId="17EC8F2F">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产品需求</w:t>
            </w:r>
          </w:p>
        </w:tc>
        <w:tc>
          <w:tcPr>
            <w:tcW w:w="2294" w:type="dxa"/>
            <w:vAlign w:val="center"/>
          </w:tcPr>
          <w:p w14:paraId="693DB8E4">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从“吃得饱”到“吃得好”，功能性与特色性并重。</w:t>
            </w:r>
          </w:p>
        </w:tc>
        <w:tc>
          <w:tcPr>
            <w:tcW w:w="5115" w:type="dxa"/>
            <w:vAlign w:val="center"/>
          </w:tcPr>
          <w:p w14:paraId="7FEAF338">
            <w:pPr>
              <w:widowControl/>
              <w:spacing w:line="270" w:lineRule="exact"/>
              <w:jc w:val="both"/>
              <w:rPr>
                <w:rFonts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消费者不再满足于青稞等传统作物，对“黑美人”土豆、芫根固体饮料等兼具特色口味和健康功能的新产品需求旺盛。</w:t>
            </w:r>
          </w:p>
        </w:tc>
      </w:tr>
      <w:tr w14:paraId="3CE13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8" w:hRule="atLeast"/>
        </w:trPr>
        <w:tc>
          <w:tcPr>
            <w:tcW w:w="1409" w:type="dxa"/>
            <w:vAlign w:val="center"/>
          </w:tcPr>
          <w:p w14:paraId="4D858F4D">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品质标准</w:t>
            </w:r>
          </w:p>
        </w:tc>
        <w:tc>
          <w:tcPr>
            <w:tcW w:w="2294" w:type="dxa"/>
            <w:vAlign w:val="center"/>
          </w:tcPr>
          <w:p w14:paraId="17D74FEC">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Times New Roman"/>
                <w:bCs/>
                <w:sz w:val="21"/>
                <w:szCs w:val="21"/>
                <w:lang w:eastAsia="zh-CN"/>
              </w:rPr>
              <w:t>从“有无”到“优劣”，绿色与有机成为关键。</w:t>
            </w:r>
          </w:p>
        </w:tc>
        <w:tc>
          <w:tcPr>
            <w:tcW w:w="5115" w:type="dxa"/>
            <w:vAlign w:val="center"/>
          </w:tcPr>
          <w:p w14:paraId="3A21C722">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市场对拥有绿色、有机认证或地理标志的产品更加青睐，这驱动产业向标准化、品牌化发展，以提升产品竞争力。</w:t>
            </w:r>
          </w:p>
        </w:tc>
      </w:tr>
      <w:tr w14:paraId="14FE7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8" w:hRule="atLeast"/>
        </w:trPr>
        <w:tc>
          <w:tcPr>
            <w:tcW w:w="1409" w:type="dxa"/>
            <w:vAlign w:val="center"/>
          </w:tcPr>
          <w:p w14:paraId="27379B03">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销售渠道</w:t>
            </w:r>
          </w:p>
        </w:tc>
        <w:tc>
          <w:tcPr>
            <w:tcW w:w="2294" w:type="dxa"/>
            <w:vAlign w:val="center"/>
          </w:tcPr>
          <w:p w14:paraId="1B427891">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从线下集市到线上线下融合，直播电商作用凸显。</w:t>
            </w:r>
          </w:p>
        </w:tc>
        <w:tc>
          <w:tcPr>
            <w:tcW w:w="5115" w:type="dxa"/>
            <w:vAlign w:val="center"/>
          </w:tcPr>
          <w:p w14:paraId="6018082C">
            <w:pPr>
              <w:widowControl/>
              <w:spacing w:line="270" w:lineRule="exact"/>
              <w:jc w:val="both"/>
              <w:rPr>
                <w:rFonts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通过浙江农业博览会等展销平台和直播带货，那曲的特色产品能直接触达全国消费者，有效拓展了市场半径。</w:t>
            </w:r>
          </w:p>
        </w:tc>
      </w:tr>
      <w:tr w14:paraId="30696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6" w:hRule="atLeast"/>
        </w:trPr>
        <w:tc>
          <w:tcPr>
            <w:tcW w:w="1409" w:type="dxa"/>
            <w:vAlign w:val="center"/>
          </w:tcPr>
          <w:p w14:paraId="00C2578C">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产业形态</w:t>
            </w:r>
          </w:p>
        </w:tc>
        <w:tc>
          <w:tcPr>
            <w:tcW w:w="2294" w:type="dxa"/>
            <w:vAlign w:val="center"/>
          </w:tcPr>
          <w:p w14:paraId="3AA547D6">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从单一生产到三产融合，产区变景区。</w:t>
            </w:r>
          </w:p>
        </w:tc>
        <w:tc>
          <w:tcPr>
            <w:tcW w:w="5115" w:type="dxa"/>
            <w:vAlign w:val="center"/>
          </w:tcPr>
          <w:p w14:paraId="71C1BC80">
            <w:pPr>
              <w:widowControl/>
              <w:spacing w:line="270" w:lineRule="exact"/>
              <w:jc w:val="both"/>
              <w:rPr>
                <w:rFonts w:ascii="Times New Roman" w:hAnsi="Times New Roman" w:eastAsia="方正仿宋简体" w:cs="方正仿宋简体"/>
                <w:bCs/>
                <w:sz w:val="21"/>
                <w:szCs w:val="21"/>
                <w:lang w:val="en-US" w:eastAsia="zh-CN"/>
              </w:rPr>
            </w:pPr>
            <w:r>
              <w:rPr>
                <w:rFonts w:hint="eastAsia" w:ascii="Times New Roman" w:hAnsi="Times New Roman" w:eastAsia="方正仿宋简体" w:cs="方正仿宋简体"/>
                <w:bCs/>
                <w:sz w:val="21"/>
                <w:szCs w:val="21"/>
                <w:lang w:val="en-US" w:eastAsia="zh-CN"/>
              </w:rPr>
              <w:t>种植业与加工、文化旅游加速融合。例如，通过“种植—酿造—旅游”模式，能将荒滩葡萄园打造成旅游目的地，提升综合收益。</w:t>
            </w:r>
          </w:p>
        </w:tc>
      </w:tr>
      <w:bookmarkEnd w:id="466"/>
    </w:tbl>
    <w:p w14:paraId="56566296">
      <w:pPr>
        <w:pStyle w:val="8"/>
        <w:overflowPunct w:val="0"/>
        <w:topLinePunct/>
        <w:autoSpaceDE/>
        <w:autoSpaceDN/>
        <w:spacing w:before="0" w:line="576" w:lineRule="exact"/>
        <w:ind w:left="0" w:firstLine="640" w:firstLineChars="200"/>
        <w:jc w:val="both"/>
        <w:outlineLvl w:val="1"/>
        <w:rPr>
          <w:rFonts w:ascii="Times New Roman" w:hAnsi="Times New Roman" w:eastAsia="方正楷体简体" w:cs="方正楷体简体"/>
          <w:sz w:val="32"/>
          <w:szCs w:val="32"/>
        </w:rPr>
      </w:pPr>
      <w:bookmarkStart w:id="467" w:name="_Toc243241571"/>
      <w:bookmarkStart w:id="468" w:name="OLE_LINK245"/>
      <w:bookmarkStart w:id="469" w:name="OLE_LINK118"/>
      <w:r>
        <w:rPr>
          <w:rFonts w:hint="eastAsia" w:ascii="Times New Roman" w:hAnsi="Times New Roman" w:eastAsia="方正楷体简体" w:cs="方正楷体简体"/>
          <w:sz w:val="32"/>
          <w:szCs w:val="32"/>
        </w:rPr>
        <w:t>（九）天然饮用水产业市场需求变化趋势</w:t>
      </w:r>
      <w:bookmarkEnd w:id="467"/>
    </w:p>
    <w:bookmarkEnd w:id="468"/>
    <w:p w14:paraId="4B10FD8B">
      <w:pPr>
        <w:spacing w:line="576" w:lineRule="exact"/>
        <w:ind w:firstLine="640" w:firstLineChars="200"/>
        <w:jc w:val="both"/>
        <w:rPr>
          <w:rFonts w:hint="eastAsia"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那曲市的天然饮用水产业，其市场需求正从满足本地基础供水，向区内外中高端消费、多场景差异化供给方向快速拓展。总的来看，</w:t>
      </w:r>
      <w:r>
        <w:rPr>
          <w:rFonts w:hint="eastAsia" w:ascii="方正仿宋简体" w:hAnsi="方正仿宋简体" w:eastAsia="方正仿宋简体" w:cs="方正仿宋简体"/>
          <w:bCs/>
          <w:sz w:val="32"/>
          <w:szCs w:val="32"/>
          <w:lang w:val="en-US"/>
        </w:rPr>
        <w:t>那曲市天然饮用水产业的市场需求正变得更加多元化</w:t>
      </w:r>
      <w:r>
        <w:rPr>
          <w:rFonts w:hint="eastAsia" w:ascii="方正仿宋简体" w:hAnsi="方正仿宋简体" w:eastAsia="方正仿宋简体" w:cs="方正仿宋简体"/>
          <w:bCs/>
          <w:sz w:val="32"/>
          <w:szCs w:val="32"/>
        </w:rPr>
        <w:t>、品质化、品牌化。驱动这一变化的，不仅是国内健康消费升级、“西藏好水”共品牌建设的外在拉动，更是那曲依托极地稀缺水源禀赋，推动潜力产业向支柱产业进阶的内在要求。未来，随着“一塔四源”水源地集群开发、藏北物流集散中心建设持续推进，那曲天然饮用水产业有望在培育全新经济增长极、带动群众增收致富方面发挥更加重要的作用。</w:t>
      </w:r>
    </w:p>
    <w:p w14:paraId="65DB8A4C">
      <w:pPr>
        <w:spacing w:line="576" w:lineRule="exact"/>
        <w:jc w:val="center"/>
        <w:rPr>
          <w:rFonts w:ascii="Times New Roman" w:hAnsi="Times New Roman" w:eastAsia="方正仿宋简体" w:cs="方正仿宋简体"/>
          <w:b/>
          <w:sz w:val="32"/>
          <w:szCs w:val="32"/>
          <w:lang w:val="en-US" w:eastAsia="zh-CN"/>
        </w:rPr>
      </w:pPr>
      <w:bookmarkStart w:id="470" w:name="OLE_LINK248"/>
      <w:r>
        <w:rPr>
          <w:rFonts w:hint="eastAsia" w:ascii="Times New Roman" w:hAnsi="Times New Roman" w:eastAsia="方正仿宋简体" w:cs="方正仿宋简体"/>
          <w:b/>
          <w:sz w:val="32"/>
          <w:szCs w:val="32"/>
          <w:lang w:eastAsia="zh-CN"/>
        </w:rPr>
        <w:t>那曲市天然饮用水产业市场变化趋势</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3"/>
        <w:gridCol w:w="2283"/>
        <w:gridCol w:w="5093"/>
      </w:tblGrid>
      <w:tr w14:paraId="46EC1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1403" w:type="dxa"/>
          </w:tcPr>
          <w:p w14:paraId="3255666B">
            <w:pPr>
              <w:widowControl/>
              <w:spacing w:line="352"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需求维度</w:t>
            </w:r>
          </w:p>
        </w:tc>
        <w:tc>
          <w:tcPr>
            <w:tcW w:w="2283" w:type="dxa"/>
          </w:tcPr>
          <w:p w14:paraId="1146E46D">
            <w:pPr>
              <w:widowControl/>
              <w:spacing w:line="352" w:lineRule="exact"/>
              <w:jc w:val="center"/>
              <w:rPr>
                <w:rFonts w:ascii="Times New Roman" w:hAnsi="Times New Roman" w:eastAsia="方正仿宋简体" w:cs="方正仿宋简体"/>
                <w:b/>
                <w:sz w:val="24"/>
                <w:szCs w:val="24"/>
                <w:lang w:eastAsia="zh-CN"/>
              </w:rPr>
            </w:pPr>
            <w:r>
              <w:rPr>
                <w:rFonts w:ascii="Times New Roman" w:hAnsi="Times New Roman" w:eastAsia="方正仿宋简体" w:cs="方正仿宋简体"/>
                <w:b/>
                <w:sz w:val="24"/>
                <w:szCs w:val="24"/>
                <w:lang w:eastAsia="zh-CN"/>
              </w:rPr>
              <w:t>主要趋势</w:t>
            </w:r>
          </w:p>
        </w:tc>
        <w:tc>
          <w:tcPr>
            <w:tcW w:w="5093" w:type="dxa"/>
          </w:tcPr>
          <w:p w14:paraId="67B5DCFF">
            <w:pPr>
              <w:widowControl/>
              <w:spacing w:line="352" w:lineRule="exact"/>
              <w:jc w:val="center"/>
              <w:rPr>
                <w:rFonts w:ascii="Times New Roman" w:hAnsi="Times New Roman" w:eastAsia="方正仿宋简体" w:cs="方正仿宋简体"/>
                <w:b/>
                <w:sz w:val="24"/>
                <w:szCs w:val="24"/>
                <w:lang w:eastAsia="zh-CN"/>
              </w:rPr>
            </w:pPr>
            <w:r>
              <w:rPr>
                <w:rFonts w:ascii="Times New Roman" w:hAnsi="Times New Roman" w:eastAsia="方正仿宋简体" w:cs="方正仿宋简体"/>
                <w:b/>
                <w:sz w:val="24"/>
                <w:szCs w:val="24"/>
                <w:lang w:eastAsia="zh-CN"/>
              </w:rPr>
              <w:t>具体表现</w:t>
            </w:r>
          </w:p>
        </w:tc>
      </w:tr>
      <w:tr w14:paraId="3C975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1" w:hRule="atLeast"/>
        </w:trPr>
        <w:tc>
          <w:tcPr>
            <w:tcW w:w="1403" w:type="dxa"/>
            <w:vAlign w:val="center"/>
          </w:tcPr>
          <w:p w14:paraId="69BCBDE6">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外部外销市场需求</w:t>
            </w:r>
          </w:p>
        </w:tc>
        <w:tc>
          <w:tcPr>
            <w:tcW w:w="2283" w:type="dxa"/>
            <w:vAlign w:val="center"/>
          </w:tcPr>
          <w:p w14:paraId="08CE14C6">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从以区内市场为主向区内外协同拓展转变。</w:t>
            </w:r>
          </w:p>
        </w:tc>
        <w:tc>
          <w:tcPr>
            <w:tcW w:w="5093" w:type="dxa"/>
            <w:vAlign w:val="center"/>
          </w:tcPr>
          <w:p w14:paraId="64FF98D7">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eastAsia="zh-CN"/>
              </w:rPr>
              <w:t>依托出藏运费补贴、电商平台、展销推介等渠道，产品逐步走出高原，面向国内中高端消费市场，极地稀缺水源产品的外销订单持续增长，百亿级增量市场空间逐步释放。</w:t>
            </w:r>
          </w:p>
        </w:tc>
      </w:tr>
      <w:tr w14:paraId="3263C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1" w:hRule="atLeast"/>
        </w:trPr>
        <w:tc>
          <w:tcPr>
            <w:tcW w:w="1403" w:type="dxa"/>
            <w:vAlign w:val="center"/>
          </w:tcPr>
          <w:p w14:paraId="13FF4EF3">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本地消费升级需求</w:t>
            </w:r>
          </w:p>
        </w:tc>
        <w:tc>
          <w:tcPr>
            <w:tcW w:w="2283" w:type="dxa"/>
            <w:vAlign w:val="center"/>
          </w:tcPr>
          <w:p w14:paraId="4484800B">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Times New Roman"/>
                <w:bCs/>
                <w:sz w:val="21"/>
                <w:szCs w:val="21"/>
                <w:lang w:eastAsia="zh-CN"/>
              </w:rPr>
              <w:t>从基础饮水保障向高品质健康用水升级。</w:t>
            </w:r>
          </w:p>
        </w:tc>
        <w:tc>
          <w:tcPr>
            <w:tcW w:w="5093" w:type="dxa"/>
            <w:vAlign w:val="center"/>
          </w:tcPr>
          <w:p w14:paraId="2A30EF94">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eastAsia="zh-CN"/>
              </w:rPr>
              <w:t>随着本地群众生活水平提升、文旅客流持续增长，桶装水、高品质瓶装水消费规模稳步扩大，对低钠、富含多种有益微量元素的高原优质饮用水的消费偏好持续增强。</w:t>
            </w:r>
          </w:p>
        </w:tc>
      </w:tr>
      <w:tr w14:paraId="435F3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1" w:hRule="atLeast"/>
        </w:trPr>
        <w:tc>
          <w:tcPr>
            <w:tcW w:w="1403" w:type="dxa"/>
            <w:vAlign w:val="center"/>
          </w:tcPr>
          <w:p w14:paraId="3828A7A0">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多元化细分场景需求</w:t>
            </w:r>
          </w:p>
        </w:tc>
        <w:tc>
          <w:tcPr>
            <w:tcW w:w="2283" w:type="dxa"/>
            <w:vAlign w:val="center"/>
          </w:tcPr>
          <w:p w14:paraId="0AB36EC8">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从单一瓶装桶装饮用水向功能化、定制化产品拓展。</w:t>
            </w:r>
          </w:p>
        </w:tc>
        <w:tc>
          <w:tcPr>
            <w:tcW w:w="5093" w:type="dxa"/>
            <w:vAlign w:val="center"/>
          </w:tcPr>
          <w:p w14:paraId="20ADB757">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eastAsia="zh-CN"/>
              </w:rPr>
              <w:t>顺应消费升级趋势，市场对高端功能水、极地文创定制水、礼赠用水等差异化产品需求上升，倒逼产业挖掘水源差异化特质，丰富产品矩阵，提升产品溢价空间。</w:t>
            </w:r>
          </w:p>
        </w:tc>
      </w:tr>
      <w:tr w14:paraId="7F53F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6" w:hRule="atLeast"/>
        </w:trPr>
        <w:tc>
          <w:tcPr>
            <w:tcW w:w="1403" w:type="dxa"/>
            <w:vAlign w:val="center"/>
          </w:tcPr>
          <w:p w14:paraId="381102A1">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产业带动与增收需求</w:t>
            </w:r>
          </w:p>
        </w:tc>
        <w:tc>
          <w:tcPr>
            <w:tcW w:w="2283" w:type="dxa"/>
            <w:vAlign w:val="center"/>
          </w:tcPr>
          <w:p w14:paraId="7F9E9FA5">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从单纯产品生产销售向延伸产业链富民增收延伸。</w:t>
            </w:r>
          </w:p>
        </w:tc>
        <w:tc>
          <w:tcPr>
            <w:tcW w:w="5093" w:type="dxa"/>
            <w:vAlign w:val="center"/>
          </w:tcPr>
          <w:p w14:paraId="035F6FE3">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eastAsia="zh-CN"/>
              </w:rPr>
              <w:t>饮用水产业在水源勘察保护、生产加工、包装耗材、仓储物流、品牌营销等全链条发展过程中，吸纳本地群众、返乡大学生就业，通过务工就业、产业联动等方式持续拓宽农牧民增收渠道。</w:t>
            </w:r>
          </w:p>
        </w:tc>
      </w:tr>
      <w:bookmarkEnd w:id="470"/>
    </w:tbl>
    <w:p w14:paraId="5423A905">
      <w:pPr>
        <w:pStyle w:val="8"/>
        <w:overflowPunct w:val="0"/>
        <w:topLinePunct/>
        <w:autoSpaceDE/>
        <w:autoSpaceDN/>
        <w:spacing w:before="0" w:line="576" w:lineRule="exact"/>
        <w:ind w:left="0" w:firstLine="640" w:firstLineChars="200"/>
        <w:jc w:val="both"/>
        <w:outlineLvl w:val="1"/>
        <w:rPr>
          <w:rFonts w:ascii="Times New Roman" w:hAnsi="Times New Roman" w:eastAsia="方正楷体简体" w:cs="方正楷体简体"/>
          <w:sz w:val="32"/>
          <w:szCs w:val="32"/>
        </w:rPr>
      </w:pPr>
      <w:bookmarkStart w:id="471" w:name="_Toc243241572"/>
      <w:r>
        <w:rPr>
          <w:rFonts w:hint="eastAsia" w:ascii="Times New Roman" w:hAnsi="Times New Roman" w:eastAsia="方正楷体简体" w:cs="方正楷体简体"/>
          <w:sz w:val="32"/>
          <w:szCs w:val="32"/>
        </w:rPr>
        <w:t>（十）卤虫卵产业市场需求变化趋势</w:t>
      </w:r>
      <w:bookmarkEnd w:id="471"/>
    </w:p>
    <w:p w14:paraId="7717F55C">
      <w:pPr>
        <w:spacing w:line="576" w:lineRule="exact"/>
        <w:ind w:firstLine="640" w:firstLineChars="200"/>
        <w:jc w:val="both"/>
        <w:rPr>
          <w:rFonts w:hint="eastAsia" w:ascii="Times New Roman" w:hAnsi="Times New Roman" w:eastAsia="方正仿宋简体" w:cs="方正仿宋简体"/>
          <w:bCs/>
          <w:sz w:val="32"/>
          <w:szCs w:val="32"/>
          <w:lang w:eastAsia="zh-CN"/>
        </w:rPr>
      </w:pPr>
      <w:r>
        <w:rPr>
          <w:rFonts w:hint="eastAsia" w:ascii="Times New Roman" w:hAnsi="Times New Roman" w:eastAsia="方正仿宋简体" w:cs="方正仿宋简体"/>
          <w:bCs/>
          <w:sz w:val="32"/>
          <w:szCs w:val="32"/>
          <w:lang w:eastAsia="zh-CN"/>
        </w:rPr>
        <w:t>那曲市的卤虫卵产业，其市场需求正从初级原料外销，向精深加工成品供给、多领域高端应用方向快速扩展。总的来看，那曲市卤虫卵产业的市场需求正变得更加专业化、高值化、融合化。驱动这一变化的，不仅是国内水产育苗、特种养殖产业扩容的外在拉动，更是那曲依托极地盐湖稀缺资源禀赋，推动产业从原料售卖向高附加值特色生物产业升级的内在要求。未来，随着生态配额捕捞制度落地、精深加工产能释放、“极地海金沙”区域公共品牌培育持续推进，那曲卤虫卵产业有望在壮大高原特色生物产业、带动群众持续增收方面扮演更为重要的角色。</w:t>
      </w:r>
    </w:p>
    <w:p w14:paraId="6D2CD4BD">
      <w:pPr>
        <w:spacing w:line="576" w:lineRule="exact"/>
        <w:jc w:val="center"/>
        <w:rPr>
          <w:rFonts w:ascii="Times New Roman" w:hAnsi="Times New Roman" w:eastAsia="方正仿宋简体" w:cs="方正仿宋简体"/>
          <w:b/>
          <w:sz w:val="32"/>
          <w:szCs w:val="32"/>
          <w:lang w:val="en-US" w:eastAsia="zh-CN"/>
        </w:rPr>
      </w:pPr>
      <w:bookmarkStart w:id="472" w:name="OLE_LINK249"/>
      <w:r>
        <w:rPr>
          <w:rFonts w:hint="eastAsia" w:ascii="Times New Roman" w:hAnsi="Times New Roman" w:eastAsia="方正仿宋简体" w:cs="方正仿宋简体"/>
          <w:b/>
          <w:sz w:val="32"/>
          <w:szCs w:val="32"/>
          <w:lang w:eastAsia="zh-CN"/>
        </w:rPr>
        <w:t>那曲市卤虫卵产业市场变化趋势</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3"/>
        <w:gridCol w:w="2298"/>
        <w:gridCol w:w="5124"/>
      </w:tblGrid>
      <w:tr w14:paraId="5F1F9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1413" w:type="dxa"/>
          </w:tcPr>
          <w:p w14:paraId="6BEA3C7C">
            <w:pPr>
              <w:widowControl/>
              <w:spacing w:line="352"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需求维度</w:t>
            </w:r>
          </w:p>
        </w:tc>
        <w:tc>
          <w:tcPr>
            <w:tcW w:w="2299" w:type="dxa"/>
          </w:tcPr>
          <w:p w14:paraId="141F5B8F">
            <w:pPr>
              <w:widowControl/>
              <w:spacing w:line="352" w:lineRule="exact"/>
              <w:jc w:val="center"/>
              <w:rPr>
                <w:rFonts w:ascii="Times New Roman" w:hAnsi="Times New Roman" w:eastAsia="方正仿宋简体" w:cs="方正仿宋简体"/>
                <w:b/>
                <w:sz w:val="24"/>
                <w:szCs w:val="24"/>
                <w:lang w:eastAsia="zh-CN"/>
              </w:rPr>
            </w:pPr>
            <w:r>
              <w:rPr>
                <w:rFonts w:ascii="Times New Roman" w:hAnsi="Times New Roman" w:eastAsia="方正仿宋简体" w:cs="方正仿宋简体"/>
                <w:b/>
                <w:sz w:val="24"/>
                <w:szCs w:val="24"/>
                <w:lang w:eastAsia="zh-CN"/>
              </w:rPr>
              <w:t>主要趋势</w:t>
            </w:r>
          </w:p>
        </w:tc>
        <w:tc>
          <w:tcPr>
            <w:tcW w:w="5126" w:type="dxa"/>
          </w:tcPr>
          <w:p w14:paraId="12082FD4">
            <w:pPr>
              <w:widowControl/>
              <w:spacing w:line="352" w:lineRule="exact"/>
              <w:jc w:val="center"/>
              <w:rPr>
                <w:rFonts w:ascii="Times New Roman" w:hAnsi="Times New Roman" w:eastAsia="方正仿宋简体" w:cs="方正仿宋简体"/>
                <w:b/>
                <w:sz w:val="24"/>
                <w:szCs w:val="24"/>
                <w:lang w:eastAsia="zh-CN"/>
              </w:rPr>
            </w:pPr>
            <w:r>
              <w:rPr>
                <w:rFonts w:ascii="Times New Roman" w:hAnsi="Times New Roman" w:eastAsia="方正仿宋简体" w:cs="方正仿宋简体"/>
                <w:b/>
                <w:sz w:val="24"/>
                <w:szCs w:val="24"/>
                <w:lang w:eastAsia="zh-CN"/>
              </w:rPr>
              <w:t>具体表现</w:t>
            </w:r>
          </w:p>
        </w:tc>
      </w:tr>
      <w:tr w14:paraId="6664B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4" w:hRule="atLeast"/>
        </w:trPr>
        <w:tc>
          <w:tcPr>
            <w:tcW w:w="1413" w:type="dxa"/>
            <w:vAlign w:val="center"/>
          </w:tcPr>
          <w:p w14:paraId="5A22BC54">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外部外销市场需求</w:t>
            </w:r>
          </w:p>
        </w:tc>
        <w:tc>
          <w:tcPr>
            <w:tcW w:w="2299" w:type="dxa"/>
            <w:vAlign w:val="center"/>
          </w:tcPr>
          <w:p w14:paraId="019FD41C">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从毛料原料外销向精深加工成品外销转变。</w:t>
            </w:r>
          </w:p>
        </w:tc>
        <w:tc>
          <w:tcPr>
            <w:tcW w:w="5126" w:type="dxa"/>
            <w:vAlign w:val="center"/>
          </w:tcPr>
          <w:p w14:paraId="6B98F7BB">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eastAsia="zh-CN"/>
              </w:rPr>
              <w:t>过去以卤虫卵毛料低价对外输出为主，随着本地深加工厂投产，孵化筛选后的高品质成品占比不断提升，面向国内水产育苗企业、观赏鱼养殖市场的成品订单持续增加，产品市场竞争力持续增强。</w:t>
            </w:r>
          </w:p>
        </w:tc>
      </w:tr>
      <w:tr w14:paraId="61578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4" w:hRule="atLeast"/>
        </w:trPr>
        <w:tc>
          <w:tcPr>
            <w:tcW w:w="1413" w:type="dxa"/>
            <w:vAlign w:val="center"/>
          </w:tcPr>
          <w:p w14:paraId="41F35D32">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本地提质发展需求</w:t>
            </w:r>
          </w:p>
        </w:tc>
        <w:tc>
          <w:tcPr>
            <w:tcW w:w="2299" w:type="dxa"/>
            <w:vAlign w:val="center"/>
          </w:tcPr>
          <w:p w14:paraId="304B0E0C">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Times New Roman"/>
                <w:bCs/>
                <w:sz w:val="21"/>
                <w:szCs w:val="21"/>
                <w:lang w:eastAsia="zh-CN"/>
              </w:rPr>
              <w:t>从简单粗加工向标准化品质管控升级。</w:t>
            </w:r>
          </w:p>
        </w:tc>
        <w:tc>
          <w:tcPr>
            <w:tcW w:w="5126" w:type="dxa"/>
            <w:vAlign w:val="center"/>
          </w:tcPr>
          <w:p w14:paraId="4A66B5C1">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eastAsia="zh-CN"/>
              </w:rPr>
              <w:t>下游采购方对卤虫卵孵化率、杂质控制、营养组分等指标要求不断提高，倒逼本地生产环节强化捕捞管控、分级分选与质量检测，推动产业向标准化、规范化生产转型。</w:t>
            </w:r>
          </w:p>
        </w:tc>
      </w:tr>
      <w:tr w14:paraId="3C02E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4" w:hRule="atLeast"/>
        </w:trPr>
        <w:tc>
          <w:tcPr>
            <w:tcW w:w="1413" w:type="dxa"/>
            <w:vAlign w:val="center"/>
          </w:tcPr>
          <w:p w14:paraId="76D56551">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多元化细分场景需求</w:t>
            </w:r>
          </w:p>
        </w:tc>
        <w:tc>
          <w:tcPr>
            <w:tcW w:w="2299" w:type="dxa"/>
            <w:vAlign w:val="center"/>
          </w:tcPr>
          <w:p w14:paraId="739CCF28">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从传统水产饵料向多领域高附加值应用拓展。</w:t>
            </w:r>
          </w:p>
        </w:tc>
        <w:tc>
          <w:tcPr>
            <w:tcW w:w="5126" w:type="dxa"/>
            <w:vAlign w:val="center"/>
          </w:tcPr>
          <w:p w14:paraId="61C41FC0">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eastAsia="zh-CN"/>
              </w:rPr>
              <w:t>市场除水产育苗核心需求外，宠物饲料、功能原料、康养产品等新兴赛道需求逐步上升，对高纯度、高营养卤虫卵深加工产品需求增长，带动产业延伸开发多元化产品矩阵。</w:t>
            </w:r>
          </w:p>
        </w:tc>
      </w:tr>
      <w:tr w14:paraId="250E2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7" w:hRule="atLeast"/>
        </w:trPr>
        <w:tc>
          <w:tcPr>
            <w:tcW w:w="1413" w:type="dxa"/>
            <w:vAlign w:val="center"/>
          </w:tcPr>
          <w:p w14:paraId="56DAFF98">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产业带动与增收需求</w:t>
            </w:r>
          </w:p>
        </w:tc>
        <w:tc>
          <w:tcPr>
            <w:tcW w:w="2299" w:type="dxa"/>
            <w:vAlign w:val="center"/>
          </w:tcPr>
          <w:p w14:paraId="2A8C4D80">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从资源采收本身向拉动地方富民增收延伸。</w:t>
            </w:r>
          </w:p>
        </w:tc>
        <w:tc>
          <w:tcPr>
            <w:tcW w:w="5126" w:type="dxa"/>
            <w:vAlign w:val="center"/>
          </w:tcPr>
          <w:p w14:paraId="6385F4D3">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eastAsia="zh-CN"/>
              </w:rPr>
              <w:t>卤虫卵产业在盐湖管护、规范捕捞、精深加工、仓储销售、品牌推广全链条发展过程中，吸纳本地牧民、返乡大学生参与生产务工，通过捕捞分红、厂区就业等途径持续拓宽农牧民增收渠道。</w:t>
            </w:r>
          </w:p>
        </w:tc>
      </w:tr>
      <w:bookmarkEnd w:id="472"/>
    </w:tbl>
    <w:p w14:paraId="2C02C171">
      <w:pPr>
        <w:pStyle w:val="8"/>
        <w:overflowPunct w:val="0"/>
        <w:topLinePunct/>
        <w:autoSpaceDE/>
        <w:autoSpaceDN/>
        <w:spacing w:before="0" w:line="576" w:lineRule="exact"/>
        <w:ind w:left="0" w:firstLine="640" w:firstLineChars="200"/>
        <w:jc w:val="both"/>
        <w:outlineLvl w:val="1"/>
        <w:rPr>
          <w:rFonts w:ascii="Times New Roman" w:hAnsi="Times New Roman" w:eastAsia="方正楷体简体" w:cs="方正楷体简体"/>
          <w:sz w:val="32"/>
          <w:szCs w:val="32"/>
        </w:rPr>
      </w:pPr>
      <w:bookmarkStart w:id="473" w:name="_Toc243241573"/>
      <w:r>
        <w:rPr>
          <w:rFonts w:hint="eastAsia" w:ascii="Times New Roman" w:hAnsi="Times New Roman" w:eastAsia="方正楷体简体" w:cs="方正楷体简体"/>
          <w:sz w:val="32"/>
          <w:szCs w:val="32"/>
        </w:rPr>
        <w:t>（十一）低空经济市场需求变化趋势</w:t>
      </w:r>
      <w:bookmarkEnd w:id="473"/>
    </w:p>
    <w:p w14:paraId="00C3E871">
      <w:pPr>
        <w:spacing w:line="576" w:lineRule="exact"/>
        <w:ind w:firstLine="640" w:firstLineChars="200"/>
        <w:jc w:val="both"/>
        <w:rPr>
          <w:rFonts w:hint="eastAsia" w:ascii="Times New Roman" w:hAnsi="Times New Roman" w:eastAsia="方正仿宋简体" w:cs="方正仿宋简体"/>
          <w:bCs/>
          <w:sz w:val="32"/>
          <w:szCs w:val="32"/>
        </w:rPr>
      </w:pPr>
      <w:r>
        <w:rPr>
          <w:rFonts w:hint="eastAsia" w:ascii="Times New Roman" w:hAnsi="Times New Roman" w:eastAsia="方正仿宋简体" w:cs="方正仿宋简体"/>
          <w:bCs/>
          <w:sz w:val="32"/>
          <w:szCs w:val="32"/>
        </w:rPr>
        <w:t>那曲市的低空经济，其市场需求正从单点示范试飞，向政务刚需保障、高原低空物流、多业态融合商业化运营方向快速扩展。总的来看，那曲市低空经济的市场需求正变得更加刚需化、场景化、融合化。驱动这一变化的，不仅是国家低空空域改革、边疆治理现代化、新质生产力培育的外在拉动，更是那曲立足地广人稀的高原地理条件，补齐地面交通短板、赋能特色产业升级的内在要求。未来，随着通用起降网点布局完善、高原航空器测试应用迭代、“低空+”示范场景规模化复制，那曲低空经济有望在筑牢边疆安全屏障、培育前沿新兴产业、带动群众就业增收方面扮演更为重要的角色。</w:t>
      </w:r>
    </w:p>
    <w:p w14:paraId="76B8E91A">
      <w:pPr>
        <w:spacing w:line="576" w:lineRule="exact"/>
        <w:jc w:val="center"/>
        <w:rPr>
          <w:rFonts w:ascii="Times New Roman" w:hAnsi="Times New Roman" w:eastAsia="方正仿宋简体" w:cs="方正仿宋简体"/>
          <w:b/>
          <w:sz w:val="32"/>
          <w:szCs w:val="32"/>
          <w:lang w:val="en-US" w:eastAsia="zh-CN"/>
        </w:rPr>
      </w:pPr>
      <w:bookmarkStart w:id="474" w:name="OLE_LINK250"/>
      <w:r>
        <w:rPr>
          <w:rFonts w:hint="eastAsia" w:ascii="Times New Roman" w:hAnsi="Times New Roman" w:eastAsia="方正仿宋简体" w:cs="方正仿宋简体"/>
          <w:b/>
          <w:sz w:val="32"/>
          <w:szCs w:val="32"/>
          <w:lang w:eastAsia="zh-CN"/>
        </w:rPr>
        <w:t>那曲市低空经济市场变化趋势</w:t>
      </w:r>
    </w:p>
    <w:tbl>
      <w:tblPr>
        <w:tblStyle w:val="22"/>
        <w:tblW w:w="89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4"/>
        <w:gridCol w:w="2320"/>
        <w:gridCol w:w="5174"/>
      </w:tblGrid>
      <w:tr w14:paraId="76BA3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trPr>
        <w:tc>
          <w:tcPr>
            <w:tcW w:w="1424" w:type="dxa"/>
            <w:tcBorders>
              <w:top w:val="single" w:color="auto" w:sz="4" w:space="0"/>
              <w:left w:val="single" w:color="auto" w:sz="4" w:space="0"/>
              <w:bottom w:val="single" w:color="auto" w:sz="4" w:space="0"/>
              <w:right w:val="single" w:color="auto" w:sz="4" w:space="0"/>
            </w:tcBorders>
          </w:tcPr>
          <w:p w14:paraId="2ED3712D">
            <w:pPr>
              <w:widowControl/>
              <w:spacing w:line="352"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需求维度</w:t>
            </w:r>
          </w:p>
        </w:tc>
        <w:tc>
          <w:tcPr>
            <w:tcW w:w="2320" w:type="dxa"/>
            <w:tcBorders>
              <w:top w:val="single" w:color="auto" w:sz="4" w:space="0"/>
              <w:left w:val="single" w:color="auto" w:sz="4" w:space="0"/>
              <w:bottom w:val="single" w:color="auto" w:sz="4" w:space="0"/>
              <w:right w:val="single" w:color="auto" w:sz="4" w:space="0"/>
            </w:tcBorders>
          </w:tcPr>
          <w:p w14:paraId="00A98B91">
            <w:pPr>
              <w:widowControl/>
              <w:spacing w:line="352"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主要趋势</w:t>
            </w:r>
          </w:p>
        </w:tc>
        <w:tc>
          <w:tcPr>
            <w:tcW w:w="5174" w:type="dxa"/>
            <w:tcBorders>
              <w:top w:val="single" w:color="auto" w:sz="4" w:space="0"/>
              <w:left w:val="single" w:color="auto" w:sz="4" w:space="0"/>
              <w:bottom w:val="single" w:color="auto" w:sz="4" w:space="0"/>
              <w:right w:val="single" w:color="auto" w:sz="4" w:space="0"/>
            </w:tcBorders>
          </w:tcPr>
          <w:p w14:paraId="035BE058">
            <w:pPr>
              <w:widowControl/>
              <w:spacing w:line="352"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具体表现</w:t>
            </w:r>
          </w:p>
        </w:tc>
      </w:tr>
      <w:tr w14:paraId="2B55C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0" w:hRule="atLeast"/>
        </w:trPr>
        <w:tc>
          <w:tcPr>
            <w:tcW w:w="1424" w:type="dxa"/>
            <w:tcBorders>
              <w:top w:val="single" w:color="auto" w:sz="4" w:space="0"/>
              <w:left w:val="single" w:color="auto" w:sz="4" w:space="0"/>
              <w:bottom w:val="single" w:color="auto" w:sz="4" w:space="0"/>
              <w:right w:val="single" w:color="auto" w:sz="4" w:space="0"/>
            </w:tcBorders>
            <w:vAlign w:val="center"/>
          </w:tcPr>
          <w:p w14:paraId="6127DBB0">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政务公共服务需求</w:t>
            </w:r>
          </w:p>
        </w:tc>
        <w:tc>
          <w:tcPr>
            <w:tcW w:w="2320" w:type="dxa"/>
            <w:tcBorders>
              <w:top w:val="single" w:color="auto" w:sz="4" w:space="0"/>
              <w:left w:val="single" w:color="auto" w:sz="4" w:space="0"/>
              <w:bottom w:val="single" w:color="auto" w:sz="4" w:space="0"/>
              <w:right w:val="single" w:color="auto" w:sz="4" w:space="0"/>
            </w:tcBorders>
            <w:vAlign w:val="center"/>
          </w:tcPr>
          <w:p w14:paraId="5123D0DE">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从零星试点试飞向常态化全域保障转变。</w:t>
            </w:r>
          </w:p>
        </w:tc>
        <w:tc>
          <w:tcPr>
            <w:tcW w:w="5174" w:type="dxa"/>
            <w:tcBorders>
              <w:top w:val="single" w:color="auto" w:sz="4" w:space="0"/>
              <w:left w:val="single" w:color="auto" w:sz="4" w:space="0"/>
              <w:bottom w:val="single" w:color="auto" w:sz="4" w:space="0"/>
              <w:right w:val="single" w:color="auto" w:sz="4" w:space="0"/>
            </w:tcBorders>
            <w:vAlign w:val="center"/>
          </w:tcPr>
          <w:p w14:paraId="6610BDFF">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eastAsia="zh-CN"/>
              </w:rPr>
              <w:t>由零星示范飞行转向草场巡护、草原防火、野生动物监测、水源地监管、边境巡查、雪灾地质灾害应急救援等常态化任务，依托低空手段补齐地面管控通达短板，政务采购、公共服务类作业需求持续释放。</w:t>
            </w:r>
          </w:p>
        </w:tc>
      </w:tr>
      <w:tr w14:paraId="7B976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0" w:hRule="atLeast"/>
        </w:trPr>
        <w:tc>
          <w:tcPr>
            <w:tcW w:w="1424" w:type="dxa"/>
            <w:tcBorders>
              <w:top w:val="single" w:color="auto" w:sz="4" w:space="0"/>
              <w:left w:val="single" w:color="auto" w:sz="4" w:space="0"/>
              <w:bottom w:val="single" w:color="auto" w:sz="4" w:space="0"/>
              <w:right w:val="single" w:color="auto" w:sz="4" w:space="0"/>
            </w:tcBorders>
            <w:vAlign w:val="center"/>
          </w:tcPr>
          <w:p w14:paraId="14F27563">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高原运输保障需求</w:t>
            </w:r>
          </w:p>
        </w:tc>
        <w:tc>
          <w:tcPr>
            <w:tcW w:w="2320" w:type="dxa"/>
            <w:tcBorders>
              <w:top w:val="single" w:color="auto" w:sz="4" w:space="0"/>
              <w:left w:val="single" w:color="auto" w:sz="4" w:space="0"/>
              <w:bottom w:val="single" w:color="auto" w:sz="4" w:space="0"/>
              <w:right w:val="single" w:color="auto" w:sz="4" w:space="0"/>
            </w:tcBorders>
            <w:vAlign w:val="center"/>
          </w:tcPr>
          <w:p w14:paraId="348E2604">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Times New Roman"/>
                <w:bCs/>
                <w:sz w:val="21"/>
                <w:szCs w:val="21"/>
                <w:lang w:eastAsia="zh-CN"/>
              </w:rPr>
              <w:t>从地面路网单一通行向空地协同联运升级。</w:t>
            </w:r>
          </w:p>
        </w:tc>
        <w:tc>
          <w:tcPr>
            <w:tcW w:w="5174" w:type="dxa"/>
            <w:tcBorders>
              <w:top w:val="single" w:color="auto" w:sz="4" w:space="0"/>
              <w:left w:val="single" w:color="auto" w:sz="4" w:space="0"/>
              <w:bottom w:val="single" w:color="auto" w:sz="4" w:space="0"/>
              <w:right w:val="single" w:color="auto" w:sz="4" w:space="0"/>
            </w:tcBorders>
            <w:vAlign w:val="center"/>
          </w:tcPr>
          <w:p w14:paraId="4C553321">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eastAsia="zh-CN"/>
              </w:rPr>
              <w:t>针对偏远牧点交通不便现实，低空运输逐步承担生活物资投送、农牧产品外运、应急物资转运功能，有效压降高原物流成本，构建“地面交通为主、低空运输补位”的立体通达体系。</w:t>
            </w:r>
          </w:p>
        </w:tc>
      </w:tr>
      <w:tr w14:paraId="1CB9F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0" w:hRule="atLeast"/>
        </w:trPr>
        <w:tc>
          <w:tcPr>
            <w:tcW w:w="1424" w:type="dxa"/>
            <w:tcBorders>
              <w:top w:val="single" w:color="auto" w:sz="4" w:space="0"/>
              <w:left w:val="single" w:color="auto" w:sz="4" w:space="0"/>
              <w:bottom w:val="single" w:color="auto" w:sz="4" w:space="0"/>
              <w:right w:val="single" w:color="auto" w:sz="4" w:space="0"/>
            </w:tcBorders>
            <w:vAlign w:val="center"/>
          </w:tcPr>
          <w:p w14:paraId="79F2026C">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多元化细分场景需求</w:t>
            </w:r>
          </w:p>
        </w:tc>
        <w:tc>
          <w:tcPr>
            <w:tcW w:w="2320" w:type="dxa"/>
            <w:tcBorders>
              <w:top w:val="single" w:color="auto" w:sz="4" w:space="0"/>
              <w:left w:val="single" w:color="auto" w:sz="4" w:space="0"/>
              <w:bottom w:val="single" w:color="auto" w:sz="4" w:space="0"/>
              <w:right w:val="single" w:color="auto" w:sz="4" w:space="0"/>
            </w:tcBorders>
            <w:vAlign w:val="center"/>
          </w:tcPr>
          <w:p w14:paraId="5453E3BE">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从单一巡检作业向“低空+”多产业融合拓展。</w:t>
            </w:r>
          </w:p>
        </w:tc>
        <w:tc>
          <w:tcPr>
            <w:tcW w:w="5174" w:type="dxa"/>
            <w:tcBorders>
              <w:top w:val="single" w:color="auto" w:sz="4" w:space="0"/>
              <w:left w:val="single" w:color="auto" w:sz="4" w:space="0"/>
              <w:bottom w:val="single" w:color="auto" w:sz="4" w:space="0"/>
              <w:right w:val="single" w:color="auto" w:sz="4" w:space="0"/>
            </w:tcBorders>
            <w:vAlign w:val="center"/>
          </w:tcPr>
          <w:p w14:paraId="3154C944">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eastAsia="zh-CN"/>
              </w:rPr>
              <w:t>除政务管护、应急救援刚需场景外，高原空中观光、冰川研学航拍、牧场数字化管护、矿区巡检、场站运维等新业态需求逐步显现，对高原适配型航空器、场站运维、飞行管控、数据解析一体化服务的需求持续提升。</w:t>
            </w:r>
          </w:p>
        </w:tc>
      </w:tr>
      <w:tr w14:paraId="5B1D0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2" w:hRule="atLeast"/>
        </w:trPr>
        <w:tc>
          <w:tcPr>
            <w:tcW w:w="1424" w:type="dxa"/>
            <w:tcBorders>
              <w:top w:val="single" w:color="auto" w:sz="4" w:space="0"/>
              <w:left w:val="single" w:color="auto" w:sz="4" w:space="0"/>
              <w:bottom w:val="single" w:color="auto" w:sz="4" w:space="0"/>
              <w:right w:val="single" w:color="auto" w:sz="4" w:space="0"/>
            </w:tcBorders>
            <w:vAlign w:val="center"/>
          </w:tcPr>
          <w:p w14:paraId="251EE545">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产业带动与增收需求</w:t>
            </w:r>
          </w:p>
        </w:tc>
        <w:tc>
          <w:tcPr>
            <w:tcW w:w="2320" w:type="dxa"/>
            <w:tcBorders>
              <w:top w:val="single" w:color="auto" w:sz="4" w:space="0"/>
              <w:left w:val="single" w:color="auto" w:sz="4" w:space="0"/>
              <w:bottom w:val="single" w:color="auto" w:sz="4" w:space="0"/>
              <w:right w:val="single" w:color="auto" w:sz="4" w:space="0"/>
            </w:tcBorders>
            <w:vAlign w:val="center"/>
          </w:tcPr>
          <w:p w14:paraId="2D4E534C">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从飞行器作业本身向培育本土低空服务能力延伸。</w:t>
            </w:r>
          </w:p>
        </w:tc>
        <w:tc>
          <w:tcPr>
            <w:tcW w:w="5174" w:type="dxa"/>
            <w:tcBorders>
              <w:top w:val="single" w:color="auto" w:sz="4" w:space="0"/>
              <w:left w:val="single" w:color="auto" w:sz="4" w:space="0"/>
              <w:bottom w:val="single" w:color="auto" w:sz="4" w:space="0"/>
              <w:right w:val="single" w:color="auto" w:sz="4" w:space="0"/>
            </w:tcBorders>
            <w:vAlign w:val="center"/>
          </w:tcPr>
          <w:p w14:paraId="30DE4C2C">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eastAsia="zh-CN"/>
              </w:rPr>
              <w:t>低空经济发展过程中，在飞行作业、场站运维、设备维保、操控人员培训等环节创造就业岗位，吸纳本地青年、返乡大学生参与，拓宽群众新型就业增收渠道。</w:t>
            </w:r>
          </w:p>
        </w:tc>
      </w:tr>
      <w:bookmarkEnd w:id="474"/>
    </w:tbl>
    <w:p w14:paraId="04494D99">
      <w:pPr>
        <w:pStyle w:val="8"/>
        <w:overflowPunct w:val="0"/>
        <w:topLinePunct/>
        <w:autoSpaceDE/>
        <w:autoSpaceDN/>
        <w:spacing w:before="0" w:line="576" w:lineRule="exact"/>
        <w:ind w:left="0" w:firstLine="640" w:firstLineChars="200"/>
        <w:jc w:val="both"/>
        <w:outlineLvl w:val="1"/>
        <w:rPr>
          <w:rFonts w:ascii="Times New Roman" w:hAnsi="Times New Roman" w:eastAsia="方正楷体简体" w:cs="方正楷体简体"/>
          <w:sz w:val="32"/>
          <w:szCs w:val="32"/>
        </w:rPr>
      </w:pPr>
      <w:bookmarkStart w:id="475" w:name="_Toc243241574"/>
      <w:r>
        <w:rPr>
          <w:rFonts w:hint="eastAsia" w:ascii="Times New Roman" w:hAnsi="Times New Roman" w:eastAsia="方正楷体简体" w:cs="方正楷体简体"/>
          <w:sz w:val="32"/>
          <w:szCs w:val="32"/>
        </w:rPr>
        <w:t>（十二）算力经济市场需求变化趋势</w:t>
      </w:r>
      <w:bookmarkEnd w:id="475"/>
    </w:p>
    <w:p w14:paraId="2C9E0208">
      <w:pPr>
        <w:spacing w:line="576" w:lineRule="exact"/>
        <w:ind w:firstLine="640" w:firstLineChars="200"/>
        <w:jc w:val="both"/>
        <w:rPr>
          <w:rFonts w:ascii="Times New Roman" w:hAnsi="Times New Roman" w:eastAsia="方正仿宋简体" w:cs="方正仿宋简体"/>
          <w:bCs/>
          <w:sz w:val="32"/>
          <w:szCs w:val="32"/>
          <w:lang w:eastAsia="zh-CN"/>
        </w:rPr>
      </w:pPr>
      <w:r>
        <w:rPr>
          <w:rFonts w:hint="eastAsia" w:ascii="Times New Roman" w:hAnsi="Times New Roman" w:eastAsia="方正仿宋简体" w:cs="方正仿宋简体"/>
          <w:bCs/>
          <w:sz w:val="32"/>
          <w:szCs w:val="32"/>
          <w:lang w:eastAsia="zh-CN"/>
        </w:rPr>
        <w:t>那曲市的算力经济，其市场需求正从本地政务基础算力支撑，向跨区域外溢算力承接、全行业数字化赋能方向快速扩展。总的来看，那曲市算力经济的市场需求正变得更加规模化、差异化、融合化。驱动这一变化的，不仅是国家“东数西算”工程、数字经济发展、“双碳”目标落地的外在拉动，更是那曲依托高原天然冷源、清洁能源禀赋，建设“算力珠峰”特色边缘节点、培育数字领域新质生产力的内在要求。未来，随着跨区域算力传输通道打通、智算节点投产运行、“算力+N”示范场景落地推广，那曲算力经济有望在推动产业数字化转型、服务数字边疆建设、带动群众数字领域就业增收方面扮演更为重要的角色。</w:t>
      </w:r>
    </w:p>
    <w:p w14:paraId="44C0B9C8">
      <w:pPr>
        <w:spacing w:line="576" w:lineRule="exact"/>
        <w:jc w:val="center"/>
        <w:rPr>
          <w:rFonts w:ascii="Times New Roman" w:hAnsi="Times New Roman" w:eastAsia="方正仿宋简体" w:cs="方正仿宋简体"/>
          <w:b/>
          <w:sz w:val="32"/>
          <w:szCs w:val="32"/>
          <w:lang w:val="en-US" w:eastAsia="zh-CN"/>
        </w:rPr>
      </w:pPr>
      <w:r>
        <w:rPr>
          <w:rFonts w:hint="eastAsia" w:ascii="Times New Roman" w:hAnsi="Times New Roman" w:eastAsia="方正仿宋简体" w:cs="方正仿宋简体"/>
          <w:b/>
          <w:sz w:val="32"/>
          <w:szCs w:val="32"/>
          <w:lang w:eastAsia="zh-CN"/>
        </w:rPr>
        <w:t>那曲市算力经济市场变化趋势</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1"/>
        <w:gridCol w:w="2278"/>
        <w:gridCol w:w="5080"/>
      </w:tblGrid>
      <w:tr w14:paraId="765BD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401" w:type="dxa"/>
            <w:tcBorders>
              <w:top w:val="single" w:color="auto" w:sz="4" w:space="0"/>
              <w:left w:val="single" w:color="auto" w:sz="4" w:space="0"/>
              <w:bottom w:val="single" w:color="auto" w:sz="4" w:space="0"/>
              <w:right w:val="single" w:color="auto" w:sz="4" w:space="0"/>
            </w:tcBorders>
          </w:tcPr>
          <w:p w14:paraId="30A4156F">
            <w:pPr>
              <w:widowControl/>
              <w:spacing w:line="352"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需求维度</w:t>
            </w:r>
          </w:p>
        </w:tc>
        <w:tc>
          <w:tcPr>
            <w:tcW w:w="2278" w:type="dxa"/>
            <w:tcBorders>
              <w:top w:val="single" w:color="auto" w:sz="4" w:space="0"/>
              <w:left w:val="single" w:color="auto" w:sz="4" w:space="0"/>
              <w:bottom w:val="single" w:color="auto" w:sz="4" w:space="0"/>
              <w:right w:val="single" w:color="auto" w:sz="4" w:space="0"/>
            </w:tcBorders>
          </w:tcPr>
          <w:p w14:paraId="21D70CC2">
            <w:pPr>
              <w:widowControl/>
              <w:spacing w:line="352"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主要趋势</w:t>
            </w:r>
          </w:p>
        </w:tc>
        <w:tc>
          <w:tcPr>
            <w:tcW w:w="5080" w:type="dxa"/>
            <w:tcBorders>
              <w:top w:val="single" w:color="auto" w:sz="4" w:space="0"/>
              <w:left w:val="single" w:color="auto" w:sz="4" w:space="0"/>
              <w:bottom w:val="single" w:color="auto" w:sz="4" w:space="0"/>
              <w:right w:val="single" w:color="auto" w:sz="4" w:space="0"/>
            </w:tcBorders>
          </w:tcPr>
          <w:p w14:paraId="52112240">
            <w:pPr>
              <w:widowControl/>
              <w:spacing w:line="352"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具体表现</w:t>
            </w:r>
          </w:p>
        </w:tc>
      </w:tr>
      <w:tr w14:paraId="03DF0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9" w:hRule="atLeast"/>
        </w:trPr>
        <w:tc>
          <w:tcPr>
            <w:tcW w:w="1401" w:type="dxa"/>
            <w:tcBorders>
              <w:top w:val="single" w:color="auto" w:sz="4" w:space="0"/>
              <w:left w:val="single" w:color="auto" w:sz="4" w:space="0"/>
              <w:bottom w:val="single" w:color="auto" w:sz="4" w:space="0"/>
              <w:right w:val="single" w:color="auto" w:sz="4" w:space="0"/>
            </w:tcBorders>
            <w:vAlign w:val="center"/>
          </w:tcPr>
          <w:p w14:paraId="3D7F0104">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跨区域外送算力需求</w:t>
            </w:r>
          </w:p>
        </w:tc>
        <w:tc>
          <w:tcPr>
            <w:tcW w:w="2278" w:type="dxa"/>
            <w:tcBorders>
              <w:top w:val="single" w:color="auto" w:sz="4" w:space="0"/>
              <w:left w:val="single" w:color="auto" w:sz="4" w:space="0"/>
              <w:bottom w:val="single" w:color="auto" w:sz="4" w:space="0"/>
              <w:right w:val="single" w:color="auto" w:sz="4" w:space="0"/>
            </w:tcBorders>
            <w:vAlign w:val="center"/>
          </w:tcPr>
          <w:p w14:paraId="4C56C640">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从服务本地为主向承接东部外溢算力转变。</w:t>
            </w:r>
          </w:p>
        </w:tc>
        <w:tc>
          <w:tcPr>
            <w:tcW w:w="5080" w:type="dxa"/>
            <w:tcBorders>
              <w:top w:val="single" w:color="auto" w:sz="4" w:space="0"/>
              <w:left w:val="single" w:color="auto" w:sz="4" w:space="0"/>
              <w:bottom w:val="single" w:color="auto" w:sz="4" w:space="0"/>
              <w:right w:val="single" w:color="auto" w:sz="4" w:space="0"/>
            </w:tcBorders>
            <w:vAlign w:val="center"/>
          </w:tcPr>
          <w:p w14:paraId="38007040">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eastAsia="zh-CN"/>
              </w:rPr>
              <w:t>依托高原冷源与绿电成本优势，承接东部离线数据存储、灾备备份、AI模型训练等非实时算力业务，跨区域算力调度业务逐步增长，融入全国一体化算力网络体系。</w:t>
            </w:r>
          </w:p>
        </w:tc>
      </w:tr>
      <w:tr w14:paraId="37A4B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9" w:hRule="atLeast"/>
        </w:trPr>
        <w:tc>
          <w:tcPr>
            <w:tcW w:w="1401" w:type="dxa"/>
            <w:tcBorders>
              <w:top w:val="single" w:color="auto" w:sz="4" w:space="0"/>
              <w:left w:val="single" w:color="auto" w:sz="4" w:space="0"/>
              <w:bottom w:val="single" w:color="auto" w:sz="4" w:space="0"/>
              <w:right w:val="single" w:color="auto" w:sz="4" w:space="0"/>
            </w:tcBorders>
            <w:vAlign w:val="center"/>
          </w:tcPr>
          <w:p w14:paraId="1E78E9E6">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本地数字应用需求</w:t>
            </w:r>
          </w:p>
        </w:tc>
        <w:tc>
          <w:tcPr>
            <w:tcW w:w="2278" w:type="dxa"/>
            <w:tcBorders>
              <w:top w:val="single" w:color="auto" w:sz="4" w:space="0"/>
              <w:left w:val="single" w:color="auto" w:sz="4" w:space="0"/>
              <w:bottom w:val="single" w:color="auto" w:sz="4" w:space="0"/>
              <w:right w:val="single" w:color="auto" w:sz="4" w:space="0"/>
            </w:tcBorders>
            <w:vAlign w:val="center"/>
          </w:tcPr>
          <w:p w14:paraId="1FB1CD7C">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Times New Roman"/>
                <w:bCs/>
                <w:sz w:val="21"/>
                <w:szCs w:val="21"/>
                <w:lang w:eastAsia="zh-CN"/>
              </w:rPr>
              <w:t>从基础政务算力保障向全领域低时延边缘算力升级。</w:t>
            </w:r>
          </w:p>
        </w:tc>
        <w:tc>
          <w:tcPr>
            <w:tcW w:w="5080" w:type="dxa"/>
            <w:tcBorders>
              <w:top w:val="single" w:color="auto" w:sz="4" w:space="0"/>
              <w:left w:val="single" w:color="auto" w:sz="4" w:space="0"/>
              <w:bottom w:val="single" w:color="auto" w:sz="4" w:space="0"/>
              <w:right w:val="single" w:color="auto" w:sz="4" w:space="0"/>
            </w:tcBorders>
            <w:vAlign w:val="center"/>
          </w:tcPr>
          <w:p w14:paraId="0324D8FB">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eastAsia="zh-CN"/>
              </w:rPr>
              <w:t>伴随智慧牧业、低空智管、生态遥感监测、文旅数字化运营等项目落地，政务、产业端对低时延、高可靠本地边缘算力需求持续攀升，对算力调度、数据安全防护能力提出更高标准。</w:t>
            </w:r>
          </w:p>
        </w:tc>
      </w:tr>
      <w:tr w14:paraId="170E5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9" w:hRule="atLeast"/>
        </w:trPr>
        <w:tc>
          <w:tcPr>
            <w:tcW w:w="1401" w:type="dxa"/>
            <w:tcBorders>
              <w:top w:val="single" w:color="auto" w:sz="4" w:space="0"/>
              <w:left w:val="single" w:color="auto" w:sz="4" w:space="0"/>
              <w:bottom w:val="single" w:color="auto" w:sz="4" w:space="0"/>
              <w:right w:val="single" w:color="auto" w:sz="4" w:space="0"/>
            </w:tcBorders>
            <w:vAlign w:val="center"/>
          </w:tcPr>
          <w:p w14:paraId="45A1E4DD">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多元化细分场景需求</w:t>
            </w:r>
          </w:p>
        </w:tc>
        <w:tc>
          <w:tcPr>
            <w:tcW w:w="2278" w:type="dxa"/>
            <w:tcBorders>
              <w:top w:val="single" w:color="auto" w:sz="4" w:space="0"/>
              <w:left w:val="single" w:color="auto" w:sz="4" w:space="0"/>
              <w:bottom w:val="single" w:color="auto" w:sz="4" w:space="0"/>
              <w:right w:val="single" w:color="auto" w:sz="4" w:space="0"/>
            </w:tcBorders>
            <w:vAlign w:val="center"/>
          </w:tcPr>
          <w:p w14:paraId="6ED5D9AF">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从单一算力供给向算数融合多领域应用拓展。</w:t>
            </w:r>
          </w:p>
        </w:tc>
        <w:tc>
          <w:tcPr>
            <w:tcW w:w="5080" w:type="dxa"/>
            <w:tcBorders>
              <w:top w:val="single" w:color="auto" w:sz="4" w:space="0"/>
              <w:left w:val="single" w:color="auto" w:sz="4" w:space="0"/>
              <w:bottom w:val="single" w:color="auto" w:sz="4" w:space="0"/>
              <w:right w:val="single" w:color="auto" w:sz="4" w:space="0"/>
            </w:tcBorders>
            <w:vAlign w:val="center"/>
          </w:tcPr>
          <w:p w14:paraId="1D0D01E4">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eastAsia="zh-CN"/>
              </w:rPr>
              <w:t>除基础存储、计算业务外，行业遥感数据分析、数据标注、数字化改造、算法调试等衍生服务需求不断增加，推动算力供给由单纯硬件资源输出向“算力+数据+服务”一体化解决方案延伸。</w:t>
            </w:r>
          </w:p>
        </w:tc>
      </w:tr>
      <w:tr w14:paraId="4D7AA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9" w:hRule="atLeast"/>
        </w:trPr>
        <w:tc>
          <w:tcPr>
            <w:tcW w:w="1401" w:type="dxa"/>
            <w:tcBorders>
              <w:top w:val="single" w:color="auto" w:sz="4" w:space="0"/>
              <w:left w:val="single" w:color="auto" w:sz="4" w:space="0"/>
              <w:bottom w:val="single" w:color="auto" w:sz="4" w:space="0"/>
              <w:right w:val="single" w:color="auto" w:sz="4" w:space="0"/>
            </w:tcBorders>
            <w:vAlign w:val="center"/>
          </w:tcPr>
          <w:p w14:paraId="1B2ACCCD">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产业带动与增收需求</w:t>
            </w:r>
          </w:p>
        </w:tc>
        <w:tc>
          <w:tcPr>
            <w:tcW w:w="2278" w:type="dxa"/>
            <w:tcBorders>
              <w:top w:val="single" w:color="auto" w:sz="4" w:space="0"/>
              <w:left w:val="single" w:color="auto" w:sz="4" w:space="0"/>
              <w:bottom w:val="single" w:color="auto" w:sz="4" w:space="0"/>
              <w:right w:val="single" w:color="auto" w:sz="4" w:space="0"/>
            </w:tcBorders>
            <w:vAlign w:val="center"/>
          </w:tcPr>
          <w:p w14:paraId="53FF8480">
            <w:pPr>
              <w:widowControl/>
              <w:spacing w:line="270" w:lineRule="exact"/>
              <w:jc w:val="both"/>
              <w:rPr>
                <w:rFonts w:ascii="Times New Roman" w:hAnsi="Times New Roman" w:eastAsia="方正仿宋简体" w:cs="方正仿宋简体"/>
                <w:bCs/>
                <w:sz w:val="21"/>
                <w:szCs w:val="21"/>
                <w:lang w:eastAsia="zh-CN"/>
              </w:rPr>
            </w:pPr>
            <w:r>
              <w:rPr>
                <w:rFonts w:ascii="Times New Roman" w:hAnsi="Times New Roman" w:eastAsia="方正仿宋简体" w:cs="方正仿宋简体"/>
                <w:bCs/>
                <w:sz w:val="21"/>
                <w:szCs w:val="21"/>
                <w:lang w:eastAsia="zh-CN"/>
              </w:rPr>
              <w:t>从算力设施建设运营向培育本土数字服务能力延伸。</w:t>
            </w:r>
          </w:p>
        </w:tc>
        <w:tc>
          <w:tcPr>
            <w:tcW w:w="5080" w:type="dxa"/>
            <w:tcBorders>
              <w:top w:val="single" w:color="auto" w:sz="4" w:space="0"/>
              <w:left w:val="single" w:color="auto" w:sz="4" w:space="0"/>
              <w:bottom w:val="single" w:color="auto" w:sz="4" w:space="0"/>
              <w:right w:val="single" w:color="auto" w:sz="4" w:space="0"/>
            </w:tcBorders>
            <w:vAlign w:val="center"/>
          </w:tcPr>
          <w:p w14:paraId="0C8B0CE7">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eastAsia="zh-CN"/>
              </w:rPr>
              <w:t>算力经济在机房运维、网络保障、数据加工、系统运维等环节释放岗位，依托援藏协同机制和“算力平台+合作社+经营主体”模式吸纳本地青年、返乡大学生就业，持续拓宽群众数字领域增收渠道。</w:t>
            </w:r>
          </w:p>
        </w:tc>
      </w:tr>
    </w:tbl>
    <w:p w14:paraId="75F35204">
      <w:pPr>
        <w:spacing w:line="576" w:lineRule="exact"/>
        <w:ind w:firstLine="640" w:firstLineChars="200"/>
        <w:jc w:val="both"/>
        <w:rPr>
          <w:rFonts w:hint="eastAsia" w:ascii="Times New Roman" w:hAnsi="Times New Roman" w:eastAsia="方正仿宋简体" w:cs="方正仿宋简体"/>
          <w:bCs/>
          <w:sz w:val="32"/>
          <w:szCs w:val="32"/>
          <w:shd w:val="clear" w:color="auto" w:fill="auto"/>
          <w:lang w:eastAsia="zh-CN"/>
        </w:rPr>
      </w:pPr>
      <w:r>
        <w:rPr>
          <w:rFonts w:hint="eastAsia" w:ascii="Times New Roman" w:hAnsi="Times New Roman" w:eastAsia="方正仿宋简体" w:cs="方正仿宋简体"/>
          <w:bCs/>
          <w:sz w:val="32"/>
          <w:szCs w:val="32"/>
          <w:shd w:val="clear" w:color="auto" w:fill="auto"/>
        </w:rPr>
        <w:t>综上所述，面对这些深刻的市场需求变化，</w:t>
      </w:r>
      <w:r>
        <w:rPr>
          <w:rFonts w:hint="eastAsia" w:ascii="Times New Roman" w:hAnsi="Times New Roman" w:eastAsia="方正仿宋简体" w:cs="方正仿宋简体"/>
          <w:bCs/>
          <w:sz w:val="32"/>
          <w:szCs w:val="32"/>
          <w:shd w:val="clear" w:color="auto" w:fill="auto"/>
          <w:lang w:eastAsia="zh-CN"/>
        </w:rPr>
        <w:t>那曲市</w:t>
      </w:r>
      <w:r>
        <w:rPr>
          <w:rFonts w:hint="eastAsia" w:ascii="Times New Roman" w:hAnsi="Times New Roman" w:eastAsia="方正仿宋简体" w:cs="方正仿宋简体"/>
          <w:bCs/>
          <w:sz w:val="32"/>
          <w:szCs w:val="32"/>
          <w:shd w:val="clear" w:color="auto" w:fill="auto"/>
        </w:rPr>
        <w:t>特色产业发展必须做出战略性调整</w:t>
      </w:r>
      <w:r>
        <w:rPr>
          <w:rFonts w:hint="eastAsia" w:ascii="Times New Roman" w:hAnsi="Times New Roman" w:eastAsia="方正仿宋简体" w:cs="方正仿宋简体"/>
          <w:bCs/>
          <w:sz w:val="32"/>
          <w:szCs w:val="32"/>
          <w:shd w:val="clear" w:color="auto" w:fill="auto"/>
          <w:lang w:eastAsia="zh-CN"/>
        </w:rPr>
        <w:t>。</w:t>
      </w:r>
      <w:r>
        <w:rPr>
          <w:rFonts w:hint="eastAsia" w:ascii="Times New Roman" w:hAnsi="Times New Roman" w:eastAsia="方正仿宋简体" w:cs="方正仿宋简体"/>
          <w:b/>
          <w:sz w:val="32"/>
          <w:szCs w:val="32"/>
          <w:shd w:val="clear" w:color="auto" w:fill="auto"/>
        </w:rPr>
        <w:t>一是</w:t>
      </w:r>
      <w:r>
        <w:rPr>
          <w:rFonts w:hint="eastAsia" w:ascii="Times New Roman" w:hAnsi="Times New Roman" w:eastAsia="方正仿宋简体" w:cs="方正仿宋简体"/>
          <w:bCs/>
          <w:sz w:val="32"/>
          <w:szCs w:val="32"/>
          <w:shd w:val="clear" w:color="auto" w:fill="auto"/>
        </w:rPr>
        <w:t>从“卖资源”到“卖品牌”。必须放弃粗放式的原料输出，全力打造以“真实、纯净、稀缺”为核心的“极地那曲”区域公共品牌，并支持企业创建子品牌，用品牌信用承接市场对“品质”和“信任”的新需求</w:t>
      </w:r>
      <w:r>
        <w:rPr>
          <w:rFonts w:hint="eastAsia" w:ascii="Times New Roman" w:hAnsi="Times New Roman" w:eastAsia="方正仿宋简体" w:cs="方正仿宋简体"/>
          <w:bCs/>
          <w:sz w:val="32"/>
          <w:szCs w:val="32"/>
          <w:shd w:val="clear" w:color="auto" w:fill="auto"/>
          <w:lang w:eastAsia="zh-CN"/>
        </w:rPr>
        <w:t>；</w:t>
      </w:r>
      <w:r>
        <w:rPr>
          <w:rFonts w:hint="eastAsia" w:ascii="Times New Roman" w:hAnsi="Times New Roman" w:eastAsia="方正仿宋简体" w:cs="方正仿宋简体"/>
          <w:b/>
          <w:sz w:val="32"/>
          <w:szCs w:val="32"/>
          <w:shd w:val="clear" w:color="auto" w:fill="auto"/>
        </w:rPr>
        <w:t>二是</w:t>
      </w:r>
      <w:r>
        <w:rPr>
          <w:rFonts w:hint="eastAsia" w:ascii="Times New Roman" w:hAnsi="Times New Roman" w:eastAsia="方正仿宋简体" w:cs="方正仿宋简体"/>
          <w:bCs/>
          <w:sz w:val="32"/>
          <w:szCs w:val="32"/>
          <w:shd w:val="clear" w:color="auto" w:fill="auto"/>
        </w:rPr>
        <w:t>从“标准化”到“精细化”。根据市场需求开发不同档次、不同形态的产品（如高端冷鲜肉、便捷预制菜），实现价值倍增；三是从“景点观光供给”到“沉浸式体验供给”。生态文旅业应着力策划打造特色文化、生态体验类产品，推动那曲由旅游过境地向旅游目的地转变，拓展游客停留时长，释放综合消费潜力；</w:t>
      </w:r>
      <w:r>
        <w:rPr>
          <w:rFonts w:hint="eastAsia" w:ascii="Times New Roman" w:hAnsi="Times New Roman" w:eastAsia="方正仿宋简体" w:cs="方正仿宋简体"/>
          <w:b/>
          <w:sz w:val="32"/>
          <w:szCs w:val="32"/>
          <w:shd w:val="clear" w:color="auto" w:fill="auto"/>
        </w:rPr>
        <w:t>四是</w:t>
      </w:r>
      <w:r>
        <w:rPr>
          <w:rFonts w:hint="eastAsia" w:ascii="Times New Roman" w:hAnsi="Times New Roman" w:eastAsia="方正仿宋简体" w:cs="方正仿宋简体"/>
          <w:bCs/>
          <w:sz w:val="32"/>
          <w:szCs w:val="32"/>
          <w:shd w:val="clear" w:color="auto" w:fill="auto"/>
        </w:rPr>
        <w:t>拥抱“新渠道”与“新技术”。高度重视电商、社交媒体等新渠道，利用直播、短视频等内容形式，直接与消费者沟通，讲述那曲故事。同时，积极应用溯源、物联网等技术，为市场需求提供无可辩驳的信任状。总而言之，市场正在用更高的标准为那曲的特色产业“投票”。那曲的机遇在于其极端的环境所造就的“纯净”和“独特”属性，恰恰是未来市场最稀缺、最渴望的价值。</w:t>
      </w:r>
    </w:p>
    <w:bookmarkEnd w:id="469"/>
    <w:p w14:paraId="129E5E1D">
      <w:pPr>
        <w:pStyle w:val="8"/>
        <w:overflowPunct w:val="0"/>
        <w:topLinePunct/>
        <w:autoSpaceDE/>
        <w:autoSpaceDN/>
        <w:spacing w:before="0" w:line="576" w:lineRule="exact"/>
        <w:ind w:left="0" w:firstLine="640" w:firstLineChars="200"/>
        <w:jc w:val="both"/>
        <w:outlineLvl w:val="0"/>
        <w:rPr>
          <w:rFonts w:ascii="Times New Roman" w:hAnsi="Times New Roman" w:eastAsia="方正黑体简体" w:cs="方正黑体简体"/>
          <w:sz w:val="32"/>
          <w:szCs w:val="32"/>
          <w:lang w:val="en-US" w:eastAsia="zh-CN"/>
        </w:rPr>
      </w:pPr>
      <w:bookmarkStart w:id="476" w:name="_Toc218422290"/>
      <w:bookmarkStart w:id="477" w:name="_Toc243241575"/>
      <w:r>
        <w:rPr>
          <w:rFonts w:hint="eastAsia" w:ascii="Times New Roman" w:hAnsi="Times New Roman" w:eastAsia="方正黑体简体" w:cs="方正黑体简体"/>
          <w:sz w:val="32"/>
          <w:szCs w:val="32"/>
          <w:lang w:val="en-US" w:eastAsia="zh-CN"/>
        </w:rPr>
        <w:t>三、特色产业</w:t>
      </w:r>
      <w:bookmarkEnd w:id="476"/>
      <w:r>
        <w:rPr>
          <w:rFonts w:hint="eastAsia" w:ascii="Times New Roman" w:hAnsi="Times New Roman" w:eastAsia="方正黑体简体" w:cs="方正黑体简体"/>
          <w:sz w:val="32"/>
          <w:szCs w:val="32"/>
          <w:lang w:val="en-US" w:eastAsia="zh-CN"/>
        </w:rPr>
        <w:t>发展前景的关键驱动因素与未来发展方向</w:t>
      </w:r>
      <w:bookmarkEnd w:id="477"/>
    </w:p>
    <w:p w14:paraId="608D3F59">
      <w:pPr>
        <w:pStyle w:val="8"/>
        <w:overflowPunct w:val="0"/>
        <w:topLinePunct/>
        <w:autoSpaceDE/>
        <w:autoSpaceDN/>
        <w:spacing w:before="0" w:line="576" w:lineRule="exact"/>
        <w:ind w:left="0" w:firstLine="640" w:firstLineChars="200"/>
        <w:jc w:val="both"/>
        <w:outlineLvl w:val="1"/>
        <w:rPr>
          <w:rFonts w:ascii="Times New Roman" w:hAnsi="Times New Roman" w:eastAsia="方正楷体简体" w:cs="方正楷体简体"/>
          <w:sz w:val="32"/>
          <w:szCs w:val="32"/>
        </w:rPr>
      </w:pPr>
      <w:bookmarkStart w:id="478" w:name="_Toc234069579"/>
      <w:bookmarkStart w:id="479" w:name="_Toc243241576"/>
      <w:bookmarkStart w:id="480" w:name="OLE_LINK253"/>
      <w:bookmarkStart w:id="481" w:name="OLE_LINK153"/>
      <w:bookmarkStart w:id="482" w:name="OLE_LINK15"/>
      <w:bookmarkStart w:id="483" w:name="_Toc218422291"/>
      <w:r>
        <w:rPr>
          <w:rFonts w:hint="eastAsia" w:ascii="Times New Roman" w:hAnsi="Times New Roman" w:eastAsia="方正楷体简体" w:cs="方正楷体简体"/>
          <w:sz w:val="32"/>
          <w:szCs w:val="32"/>
        </w:rPr>
        <w:t>（一）特色产业发展前景的关键驱动因素</w:t>
      </w:r>
      <w:bookmarkEnd w:id="478"/>
      <w:bookmarkEnd w:id="479"/>
    </w:p>
    <w:p w14:paraId="25C417BE">
      <w:pPr>
        <w:spacing w:line="576" w:lineRule="exact"/>
        <w:ind w:firstLine="640" w:firstLineChars="200"/>
        <w:jc w:val="both"/>
        <w:rPr>
          <w:rFonts w:ascii="Times New Roman" w:hAnsi="Times New Roman" w:eastAsia="方正仿宋简体" w:cs="方正仿宋简体"/>
          <w:bCs/>
          <w:sz w:val="32"/>
          <w:szCs w:val="28"/>
          <w:lang w:val="en-US" w:eastAsia="zh-CN"/>
        </w:rPr>
      </w:pPr>
      <w:r>
        <w:rPr>
          <w:rFonts w:ascii="Times New Roman" w:hAnsi="Times New Roman" w:eastAsia="方正仿宋简体" w:cs="方正仿宋简体"/>
          <w:bCs/>
          <w:sz w:val="32"/>
          <w:szCs w:val="28"/>
          <w:lang w:val="en-US" w:eastAsia="zh-CN"/>
        </w:rPr>
        <w:t>立足国家、自治区战略部署及市域市场发展态势，那曲市依托独特高原资源禀赋、持续完善的基础设施、不断深化的援藏机制与绿色发展导向，全市特色产业整体呈现多元化、绿色化、高值化发展态势，产业发展韧性持续增强、结构持续优化、转型动能持续积累。各产业发展基础、核心驱动力及现存挑战如下表所示。</w:t>
      </w:r>
    </w:p>
    <w:p w14:paraId="6ECFA8C4">
      <w:pPr>
        <w:spacing w:line="576" w:lineRule="exact"/>
        <w:ind w:firstLine="643" w:firstLineChars="200"/>
        <w:jc w:val="center"/>
        <w:rPr>
          <w:rFonts w:ascii="Times New Roman" w:hAnsi="Times New Roman" w:eastAsia="方正仿宋简体" w:cs="方正仿宋简体"/>
          <w:b/>
          <w:bCs/>
          <w:sz w:val="32"/>
          <w:szCs w:val="28"/>
          <w:lang w:eastAsia="zh-CN"/>
        </w:rPr>
      </w:pPr>
      <w:r>
        <w:rPr>
          <w:rFonts w:hint="eastAsia" w:ascii="Times New Roman" w:hAnsi="Times New Roman" w:eastAsia="方正仿宋简体" w:cs="方正仿宋简体"/>
          <w:b/>
          <w:bCs/>
          <w:sz w:val="32"/>
          <w:szCs w:val="28"/>
          <w:lang w:eastAsia="zh-CN"/>
        </w:rPr>
        <w:t>那曲市特色产业的发展前景</w:t>
      </w:r>
    </w:p>
    <w:tbl>
      <w:tblPr>
        <w:tblStyle w:val="22"/>
        <w:tblW w:w="8902" w:type="dxa"/>
        <w:tblInd w:w="1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1276"/>
        <w:gridCol w:w="3118"/>
        <w:gridCol w:w="2807"/>
      </w:tblGrid>
      <w:tr w14:paraId="0BF31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trPr>
        <w:tc>
          <w:tcPr>
            <w:tcW w:w="1701" w:type="dxa"/>
            <w:tcBorders>
              <w:top w:val="single" w:color="auto" w:sz="4" w:space="0"/>
              <w:left w:val="single" w:color="auto" w:sz="4" w:space="0"/>
              <w:bottom w:val="single" w:color="auto" w:sz="4" w:space="0"/>
              <w:right w:val="single" w:color="auto" w:sz="4" w:space="0"/>
            </w:tcBorders>
            <w:vAlign w:val="center"/>
          </w:tcPr>
          <w:p w14:paraId="2F8A51C1">
            <w:pPr>
              <w:widowControl/>
              <w:spacing w:line="352" w:lineRule="exact"/>
              <w:jc w:val="center"/>
              <w:rPr>
                <w:rFonts w:ascii="Times New Roman" w:hAnsi="Times New Roman" w:eastAsia="方正仿宋简体" w:cs="方正仿宋简体"/>
                <w:b/>
                <w:sz w:val="24"/>
                <w:szCs w:val="24"/>
                <w:lang w:eastAsia="zh-CN"/>
              </w:rPr>
            </w:pPr>
            <w:bookmarkStart w:id="484" w:name="_Hlk237605109"/>
            <w:r>
              <w:rPr>
                <w:rFonts w:hint="eastAsia" w:ascii="Times New Roman" w:hAnsi="Times New Roman" w:eastAsia="方正仿宋简体" w:cs="方正仿宋简体"/>
                <w:b/>
                <w:sz w:val="24"/>
                <w:szCs w:val="24"/>
                <w:lang w:eastAsia="zh-CN"/>
              </w:rPr>
              <w:t>产业名称</w:t>
            </w:r>
          </w:p>
        </w:tc>
        <w:tc>
          <w:tcPr>
            <w:tcW w:w="1276" w:type="dxa"/>
            <w:tcBorders>
              <w:top w:val="single" w:color="auto" w:sz="4" w:space="0"/>
              <w:left w:val="single" w:color="auto" w:sz="4" w:space="0"/>
              <w:bottom w:val="single" w:color="auto" w:sz="4" w:space="0"/>
              <w:right w:val="single" w:color="auto" w:sz="4" w:space="0"/>
            </w:tcBorders>
            <w:vAlign w:val="center"/>
          </w:tcPr>
          <w:p w14:paraId="686F17FA">
            <w:pPr>
              <w:widowControl/>
              <w:spacing w:line="352"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核心定位</w:t>
            </w:r>
          </w:p>
        </w:tc>
        <w:tc>
          <w:tcPr>
            <w:tcW w:w="3118" w:type="dxa"/>
            <w:tcBorders>
              <w:top w:val="single" w:color="auto" w:sz="4" w:space="0"/>
              <w:left w:val="single" w:color="auto" w:sz="4" w:space="0"/>
              <w:bottom w:val="single" w:color="auto" w:sz="4" w:space="0"/>
              <w:right w:val="single" w:color="auto" w:sz="4" w:space="0"/>
            </w:tcBorders>
            <w:vAlign w:val="center"/>
          </w:tcPr>
          <w:p w14:paraId="08F7BAE0">
            <w:pPr>
              <w:widowControl/>
              <w:spacing w:line="352"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发展前景的关键驱动因素</w:t>
            </w:r>
          </w:p>
        </w:tc>
        <w:tc>
          <w:tcPr>
            <w:tcW w:w="2807" w:type="dxa"/>
            <w:tcBorders>
              <w:top w:val="single" w:color="auto" w:sz="4" w:space="0"/>
              <w:left w:val="single" w:color="auto" w:sz="4" w:space="0"/>
              <w:bottom w:val="single" w:color="auto" w:sz="4" w:space="0"/>
              <w:right w:val="single" w:color="auto" w:sz="4" w:space="0"/>
            </w:tcBorders>
            <w:vAlign w:val="center"/>
          </w:tcPr>
          <w:p w14:paraId="22C8C9D1">
            <w:pPr>
              <w:widowControl/>
              <w:spacing w:line="352" w:lineRule="exact"/>
              <w:jc w:val="center"/>
              <w:rPr>
                <w:rFonts w:ascii="Times New Roman" w:hAnsi="Times New Roman" w:eastAsia="方正仿宋简体" w:cs="方正仿宋简体"/>
                <w:b/>
                <w:sz w:val="24"/>
                <w:szCs w:val="24"/>
                <w:lang w:eastAsia="zh-CN"/>
              </w:rPr>
            </w:pPr>
            <w:r>
              <w:rPr>
                <w:rFonts w:hint="eastAsia" w:ascii="Times New Roman" w:hAnsi="Times New Roman" w:eastAsia="方正仿宋简体" w:cs="方正仿宋简体"/>
                <w:b/>
                <w:sz w:val="24"/>
                <w:szCs w:val="24"/>
                <w:lang w:eastAsia="zh-CN"/>
              </w:rPr>
              <w:t>潜在挑战与创新方向</w:t>
            </w:r>
          </w:p>
        </w:tc>
      </w:tr>
      <w:bookmarkEnd w:id="484"/>
      <w:tr w14:paraId="79DD6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7" w:hRule="atLeast"/>
        </w:trPr>
        <w:tc>
          <w:tcPr>
            <w:tcW w:w="1701" w:type="dxa"/>
            <w:tcBorders>
              <w:top w:val="single" w:color="auto" w:sz="4" w:space="0"/>
              <w:left w:val="single" w:color="auto" w:sz="4" w:space="0"/>
              <w:bottom w:val="single" w:color="auto" w:sz="4" w:space="0"/>
              <w:right w:val="single" w:color="auto" w:sz="4" w:space="0"/>
            </w:tcBorders>
            <w:vAlign w:val="center"/>
          </w:tcPr>
          <w:p w14:paraId="06EE3711">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高原特色畜牧业</w:t>
            </w:r>
          </w:p>
        </w:tc>
        <w:tc>
          <w:tcPr>
            <w:tcW w:w="1276" w:type="dxa"/>
            <w:tcBorders>
              <w:top w:val="single" w:color="auto" w:sz="4" w:space="0"/>
              <w:left w:val="single" w:color="auto" w:sz="4" w:space="0"/>
              <w:bottom w:val="single" w:color="auto" w:sz="4" w:space="0"/>
              <w:right w:val="single" w:color="auto" w:sz="4" w:space="0"/>
            </w:tcBorders>
            <w:vAlign w:val="center"/>
          </w:tcPr>
          <w:p w14:paraId="7BC33A93">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打造高原特色畜产品核心供应基地，推动传统畜牧业现代化转型、特色种养产业规模化发展。</w:t>
            </w:r>
          </w:p>
        </w:tc>
        <w:tc>
          <w:tcPr>
            <w:tcW w:w="3118" w:type="dxa"/>
            <w:tcBorders>
              <w:top w:val="single" w:color="auto" w:sz="4" w:space="0"/>
              <w:left w:val="single" w:color="auto" w:sz="4" w:space="0"/>
              <w:bottom w:val="single" w:color="auto" w:sz="4" w:space="0"/>
              <w:right w:val="single" w:color="auto" w:sz="4" w:space="0"/>
            </w:tcBorders>
            <w:vAlign w:val="center"/>
          </w:tcPr>
          <w:p w14:paraId="0BAB0A79">
            <w:pPr>
              <w:widowControl/>
              <w:spacing w:line="270" w:lineRule="exact"/>
              <w:jc w:val="both"/>
              <w:rPr>
                <w:rFonts w:ascii="Times New Roman" w:hAnsi="Times New Roman" w:eastAsia="方正仿宋简体" w:cs="方正仿宋简体"/>
                <w:bCs/>
                <w:sz w:val="21"/>
                <w:szCs w:val="21"/>
                <w:lang w:val="en-US" w:eastAsia="zh-CN"/>
              </w:rPr>
            </w:pPr>
            <w:bookmarkStart w:id="485" w:name="OLE_LINK154"/>
            <w:r>
              <w:rPr>
                <w:rFonts w:ascii="Times New Roman" w:hAnsi="Times New Roman" w:eastAsia="方正仿宋简体" w:cs="方正仿宋简体"/>
                <w:bCs/>
                <w:sz w:val="21"/>
                <w:szCs w:val="21"/>
                <w:lang w:val="en-US" w:eastAsia="zh-CN"/>
              </w:rPr>
              <w:t>产业基础扎实，畜牧体量优势突出，</w:t>
            </w:r>
            <w:r>
              <w:rPr>
                <w:rFonts w:hint="eastAsia" w:ascii="Times New Roman" w:hAnsi="Times New Roman" w:eastAsia="方正仿宋简体" w:cs="方正仿宋简体"/>
                <w:bCs/>
                <w:sz w:val="21"/>
                <w:szCs w:val="21"/>
                <w:lang w:val="en-US" w:eastAsia="zh-CN"/>
              </w:rPr>
              <w:t>那曲</w:t>
            </w:r>
            <w:r>
              <w:rPr>
                <w:rFonts w:ascii="Times New Roman" w:hAnsi="Times New Roman" w:eastAsia="方正仿宋简体" w:cs="方正仿宋简体"/>
                <w:bCs/>
                <w:sz w:val="21"/>
                <w:szCs w:val="21"/>
                <w:lang w:val="en-US" w:eastAsia="zh-CN"/>
              </w:rPr>
              <w:t>牲畜存栏规模稳居西藏自治区前列、占全区总量近三分之一，肉、奶年产量均稳定突破十万吨，是藏北重要的畜产品供给基地；</w:t>
            </w:r>
            <w:bookmarkEnd w:id="485"/>
          </w:p>
          <w:p w14:paraId="3BBD7B2E">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经营主体持续迭代，培育壮大农牧民合作社、家庭牧场等新型经营主体，稳步推进畜产品精深加工布局，落地“我在那曲有头牛”等订单种养、认养养殖创新模式；</w:t>
            </w:r>
          </w:p>
          <w:p w14:paraId="6F2B6887">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高海拔种植技术实现阶段性突破，成功试种推广黑美人土豆等适配性较强的高原经济作物，有效丰富市域种养产业结构。</w:t>
            </w:r>
          </w:p>
        </w:tc>
        <w:tc>
          <w:tcPr>
            <w:tcW w:w="2807" w:type="dxa"/>
            <w:tcBorders>
              <w:top w:val="single" w:color="auto" w:sz="4" w:space="0"/>
              <w:left w:val="single" w:color="auto" w:sz="4" w:space="0"/>
              <w:bottom w:val="single" w:color="auto" w:sz="4" w:space="0"/>
              <w:right w:val="single" w:color="auto" w:sz="4" w:space="0"/>
            </w:tcBorders>
            <w:vAlign w:val="center"/>
          </w:tcPr>
          <w:p w14:paraId="6F55F48F">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高寒低温、无霜期短等气候条件，客观制约畜禽生长周期与规模化繁育效率，</w:t>
            </w:r>
            <w:r>
              <w:rPr>
                <w:rFonts w:hint="eastAsia" w:ascii="Times New Roman" w:hAnsi="Times New Roman" w:eastAsia="方正仿宋简体" w:cs="方正仿宋简体"/>
                <w:bCs/>
                <w:sz w:val="21"/>
                <w:szCs w:val="21"/>
                <w:lang w:val="en-US" w:eastAsia="zh-CN"/>
              </w:rPr>
              <w:t>全域</w:t>
            </w:r>
            <w:r>
              <w:rPr>
                <w:rFonts w:ascii="Times New Roman" w:hAnsi="Times New Roman" w:eastAsia="方正仿宋简体" w:cs="方正仿宋简体"/>
                <w:bCs/>
                <w:sz w:val="21"/>
                <w:szCs w:val="21"/>
                <w:lang w:val="en-US" w:eastAsia="zh-CN"/>
              </w:rPr>
              <w:t>冷链仓储、保鲜物流体系覆盖不足、布局不均，区域公共品牌与企业子品牌培育体系不完善，高端细分市场布局滞后，初级产品占比偏高、整体产品附加值不足。后续需强化高原适配种养殖技术推广应用，补齐冷链物流基础设施短板，健全标准化生产规程与品牌运营体系，精准对接高端消费市场，推动畜牧产品价值层级稳步提升。</w:t>
            </w:r>
          </w:p>
          <w:p w14:paraId="4F93F2FB">
            <w:pPr>
              <w:widowControl/>
              <w:spacing w:line="270" w:lineRule="exact"/>
              <w:jc w:val="both"/>
              <w:rPr>
                <w:rFonts w:ascii="Times New Roman" w:hAnsi="Times New Roman" w:eastAsia="方正仿宋简体" w:cs="方正仿宋简体"/>
                <w:bCs/>
                <w:sz w:val="32"/>
                <w:szCs w:val="28"/>
                <w:lang w:val="en-US" w:eastAsia="zh-CN"/>
              </w:rPr>
            </w:pPr>
          </w:p>
        </w:tc>
      </w:tr>
      <w:tr w14:paraId="3D897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0" w:hRule="atLeast"/>
        </w:trPr>
        <w:tc>
          <w:tcPr>
            <w:tcW w:w="1701" w:type="dxa"/>
            <w:tcBorders>
              <w:top w:val="single" w:color="auto" w:sz="4" w:space="0"/>
              <w:left w:val="single" w:color="auto" w:sz="4" w:space="0"/>
              <w:bottom w:val="single" w:color="auto" w:sz="4" w:space="0"/>
              <w:right w:val="single" w:color="auto" w:sz="4" w:space="0"/>
            </w:tcBorders>
            <w:vAlign w:val="center"/>
          </w:tcPr>
          <w:p w14:paraId="3E2D65DA">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藏医药产业</w:t>
            </w:r>
          </w:p>
        </w:tc>
        <w:tc>
          <w:tcPr>
            <w:tcW w:w="1276" w:type="dxa"/>
            <w:tcBorders>
              <w:top w:val="single" w:color="auto" w:sz="4" w:space="0"/>
              <w:left w:val="single" w:color="auto" w:sz="4" w:space="0"/>
              <w:bottom w:val="single" w:color="auto" w:sz="4" w:space="0"/>
              <w:right w:val="single" w:color="auto" w:sz="4" w:space="0"/>
            </w:tcBorders>
            <w:vAlign w:val="center"/>
          </w:tcPr>
          <w:p w14:paraId="6EA9240D">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完善藏医药医疗卫生服务体系，深挖非遗文化价值，推动藏医药传统技艺活态传承与现代化创新发展。</w:t>
            </w:r>
          </w:p>
        </w:tc>
        <w:tc>
          <w:tcPr>
            <w:tcW w:w="3118" w:type="dxa"/>
            <w:tcBorders>
              <w:top w:val="single" w:color="auto" w:sz="4" w:space="0"/>
              <w:left w:val="single" w:color="auto" w:sz="4" w:space="0"/>
              <w:bottom w:val="single" w:color="auto" w:sz="4" w:space="0"/>
              <w:right w:val="single" w:color="auto" w:sz="4" w:space="0"/>
            </w:tcBorders>
            <w:vAlign w:val="center"/>
          </w:tcPr>
          <w:p w14:paraId="69D8E7FA">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政策支撑力度持续加大，基层藏医药服务体系建设纳入市县级重点民生工作，基层诊疗服务网点持续完善；</w:t>
            </w:r>
          </w:p>
          <w:p w14:paraId="41485955">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文化品牌价值持续释放，“藏医脉泻杂炯疗法”成功入选国家级非物质文化遗产，那曲藏医药地域辨识度、文化独特性逐步凸显；</w:t>
            </w:r>
          </w:p>
          <w:p w14:paraId="0F97E0DB">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产学研用衔接机制逐步健全，有序推进藏药材原生保护区划定与人工规范化试种、扩种，逐步构建本土化、可持续的原料供给体系，为产业规模化、精品化发展筑牢基础。</w:t>
            </w:r>
          </w:p>
        </w:tc>
        <w:tc>
          <w:tcPr>
            <w:tcW w:w="2807" w:type="dxa"/>
            <w:tcBorders>
              <w:top w:val="single" w:color="auto" w:sz="4" w:space="0"/>
              <w:left w:val="single" w:color="auto" w:sz="4" w:space="0"/>
              <w:bottom w:val="single" w:color="auto" w:sz="4" w:space="0"/>
              <w:right w:val="single" w:color="auto" w:sz="4" w:space="0"/>
            </w:tcBorders>
            <w:vAlign w:val="center"/>
          </w:tcPr>
          <w:p w14:paraId="5099F644">
            <w:pPr>
              <w:widowControl/>
              <w:spacing w:line="270" w:lineRule="exact"/>
              <w:jc w:val="both"/>
              <w:rPr>
                <w:rFonts w:ascii="Times New Roman" w:hAnsi="Times New Roman" w:eastAsia="方正仿宋简体" w:cs="方正仿宋简体"/>
                <w:bCs/>
                <w:sz w:val="32"/>
                <w:szCs w:val="28"/>
                <w:lang w:val="en-US" w:eastAsia="zh-CN"/>
              </w:rPr>
            </w:pPr>
            <w:r>
              <w:rPr>
                <w:rFonts w:ascii="Times New Roman" w:hAnsi="Times New Roman" w:eastAsia="方正仿宋简体" w:cs="方正仿宋简体"/>
                <w:bCs/>
                <w:sz w:val="21"/>
                <w:szCs w:val="21"/>
                <w:lang w:val="en-US" w:eastAsia="zh-CN"/>
              </w:rPr>
              <w:t>传统炮制工艺、生产模式与现代标准化、规范化生产体系融合程度不足，市场化康养产品、药膳产品体系不完善，大众消费市场培育进度偏慢。后续需依托现代检测、智能制造技术赋能传统炮制工艺，健全全链条质量标准体系，迭代适配现代健康需求的医药产品与康养服务，持续拓宽产业发展空间与市场覆盖面。</w:t>
            </w:r>
          </w:p>
        </w:tc>
      </w:tr>
      <w:tr w14:paraId="41950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4" w:hRule="atLeast"/>
        </w:trPr>
        <w:tc>
          <w:tcPr>
            <w:tcW w:w="1701" w:type="dxa"/>
            <w:tcBorders>
              <w:top w:val="single" w:color="auto" w:sz="4" w:space="0"/>
              <w:left w:val="single" w:color="auto" w:sz="4" w:space="0"/>
              <w:bottom w:val="single" w:color="auto" w:sz="4" w:space="0"/>
              <w:right w:val="single" w:color="auto" w:sz="4" w:space="0"/>
            </w:tcBorders>
            <w:vAlign w:val="center"/>
          </w:tcPr>
          <w:p w14:paraId="5EBB28CB">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清洁能源产业</w:t>
            </w:r>
          </w:p>
        </w:tc>
        <w:tc>
          <w:tcPr>
            <w:tcW w:w="1276" w:type="dxa"/>
            <w:tcBorders>
              <w:top w:val="single" w:color="auto" w:sz="4" w:space="0"/>
              <w:left w:val="single" w:color="auto" w:sz="4" w:space="0"/>
              <w:bottom w:val="single" w:color="auto" w:sz="4" w:space="0"/>
              <w:right w:val="single" w:color="auto" w:sz="4" w:space="0"/>
            </w:tcBorders>
            <w:vAlign w:val="center"/>
          </w:tcPr>
          <w:p w14:paraId="4D18CB69">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建设国家清洁能源重要贡献地，打造“西电东送”高原核心节点，构建多能互补、绿色低碳的能源产业体系。</w:t>
            </w:r>
          </w:p>
        </w:tc>
        <w:tc>
          <w:tcPr>
            <w:tcW w:w="3118" w:type="dxa"/>
            <w:tcBorders>
              <w:top w:val="single" w:color="auto" w:sz="4" w:space="0"/>
              <w:left w:val="single" w:color="auto" w:sz="4" w:space="0"/>
              <w:bottom w:val="single" w:color="auto" w:sz="4" w:space="0"/>
              <w:right w:val="single" w:color="auto" w:sz="4" w:space="0"/>
            </w:tcBorders>
            <w:vAlign w:val="center"/>
          </w:tcPr>
          <w:p w14:paraId="4B4068EA">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资源禀赋得天独厚，市域光伏、风电、水电、地热等清洁能源资源富集、可开发空间广阔；</w:t>
            </w:r>
          </w:p>
          <w:p w14:paraId="0105B6D2">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能源项目建设提速增效，全市电力装机容量由2021年16.68万千瓦增长至2025年1</w:t>
            </w:r>
            <w:r>
              <w:rPr>
                <w:rFonts w:hint="eastAsia" w:ascii="Times New Roman" w:hAnsi="Times New Roman" w:eastAsia="方正仿宋简体" w:cs="方正仿宋简体"/>
                <w:bCs/>
                <w:sz w:val="21"/>
                <w:szCs w:val="21"/>
                <w:lang w:val="en-US" w:eastAsia="zh-CN"/>
              </w:rPr>
              <w:t>37</w:t>
            </w:r>
            <w:r>
              <w:rPr>
                <w:rFonts w:ascii="Times New Roman" w:hAnsi="Times New Roman" w:eastAsia="方正仿宋简体" w:cs="方正仿宋简体"/>
                <w:bCs/>
                <w:sz w:val="21"/>
                <w:szCs w:val="21"/>
                <w:lang w:val="en-US" w:eastAsia="zh-CN"/>
              </w:rPr>
              <w:t>.68万千瓦，能源保供能力实现跨越式提升，具备稳定开展“那电外送”的硬件基础；</w:t>
            </w:r>
          </w:p>
          <w:p w14:paraId="534359A6">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空间布局持续优化，规划构建“三线一片一区”清洁能源基地，有序布局光热、氢储能等前沿赛道，稳步推进多能协同互补发展格局。</w:t>
            </w:r>
          </w:p>
        </w:tc>
        <w:tc>
          <w:tcPr>
            <w:tcW w:w="2807" w:type="dxa"/>
            <w:tcBorders>
              <w:top w:val="single" w:color="auto" w:sz="4" w:space="0"/>
              <w:left w:val="single" w:color="auto" w:sz="4" w:space="0"/>
              <w:bottom w:val="single" w:color="auto" w:sz="4" w:space="0"/>
              <w:right w:val="single" w:color="auto" w:sz="4" w:space="0"/>
            </w:tcBorders>
            <w:vAlign w:val="center"/>
          </w:tcPr>
          <w:p w14:paraId="59D31A75">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风光发电天然存在间歇性、波动性特征，高海拔电网调峰、稳定调控能力仍有短板，电力外送配套设施、消纳体系有待持续完善；</w:t>
            </w:r>
          </w:p>
          <w:p w14:paraId="12AAE80D">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能源开发与生态保护协同模式仍需深化落地。后续需重点攻关高原电力稳控、储能调峰技术，持续升级电网基础设施，规模化推广牧光互补等生态友好开发模式，实现清洁能源开发与高原生态保护协同增效。</w:t>
            </w:r>
          </w:p>
        </w:tc>
      </w:tr>
      <w:tr w14:paraId="0A335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0" w:hRule="atLeast"/>
        </w:trPr>
        <w:tc>
          <w:tcPr>
            <w:tcW w:w="1701" w:type="dxa"/>
            <w:tcBorders>
              <w:top w:val="single" w:color="auto" w:sz="4" w:space="0"/>
              <w:left w:val="single" w:color="auto" w:sz="4" w:space="0"/>
              <w:bottom w:val="single" w:color="auto" w:sz="4" w:space="0"/>
              <w:right w:val="single" w:color="auto" w:sz="4" w:space="0"/>
            </w:tcBorders>
            <w:vAlign w:val="center"/>
          </w:tcPr>
          <w:p w14:paraId="0CB90737">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生态文旅产业</w:t>
            </w:r>
          </w:p>
        </w:tc>
        <w:tc>
          <w:tcPr>
            <w:tcW w:w="1276" w:type="dxa"/>
            <w:tcBorders>
              <w:top w:val="single" w:color="auto" w:sz="4" w:space="0"/>
              <w:left w:val="single" w:color="auto" w:sz="4" w:space="0"/>
              <w:bottom w:val="single" w:color="auto" w:sz="4" w:space="0"/>
              <w:right w:val="single" w:color="auto" w:sz="4" w:space="0"/>
            </w:tcBorders>
            <w:vAlign w:val="center"/>
          </w:tcPr>
          <w:p w14:paraId="315686A6">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深化“生态+文旅”产业融合，打造极具高原辨识度的文旅产品体系与区域品牌，构建全域生态文旅发展新格局。</w:t>
            </w:r>
          </w:p>
          <w:p w14:paraId="5F785496">
            <w:pPr>
              <w:widowControl/>
              <w:spacing w:line="270" w:lineRule="exact"/>
              <w:jc w:val="both"/>
              <w:rPr>
                <w:rFonts w:ascii="Times New Roman" w:hAnsi="Times New Roman" w:eastAsia="方正仿宋简体" w:cs="方正仿宋简体"/>
                <w:bCs/>
                <w:sz w:val="21"/>
                <w:szCs w:val="21"/>
                <w:lang w:val="en-US" w:eastAsia="zh-CN"/>
              </w:rPr>
            </w:pPr>
          </w:p>
        </w:tc>
        <w:tc>
          <w:tcPr>
            <w:tcW w:w="3118" w:type="dxa"/>
            <w:tcBorders>
              <w:top w:val="single" w:color="auto" w:sz="4" w:space="0"/>
              <w:left w:val="single" w:color="auto" w:sz="4" w:space="0"/>
              <w:bottom w:val="single" w:color="auto" w:sz="4" w:space="0"/>
              <w:right w:val="single" w:color="auto" w:sz="4" w:space="0"/>
            </w:tcBorders>
            <w:vAlign w:val="center"/>
          </w:tcPr>
          <w:p w14:paraId="2651E6DF">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文旅市场复苏态势稳健，2025年全市累计接待游客294.35万人次、同比增长34.34%，实现旅游总收入9.57亿元、同比增长31.9%，文旅消费活力持续释放、市场回暖趋势显著；</w:t>
            </w:r>
          </w:p>
          <w:p w14:paraId="2F12AD76">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产品业态持续创新，有序谋划星空音乐节、民俗购物节等特色文体旅活动，稳步推进当惹雍错5A级景区等精品标杆项目创建；</w:t>
            </w:r>
          </w:p>
          <w:p w14:paraId="7A956766">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基础设施持续完善，“三横四纵四通道”公路骨架基本成型，全域文旅通达性与服务保障能力稳步提升。</w:t>
            </w:r>
          </w:p>
        </w:tc>
        <w:tc>
          <w:tcPr>
            <w:tcW w:w="2807" w:type="dxa"/>
            <w:tcBorders>
              <w:top w:val="single" w:color="auto" w:sz="4" w:space="0"/>
              <w:left w:val="single" w:color="auto" w:sz="4" w:space="0"/>
              <w:bottom w:val="single" w:color="auto" w:sz="4" w:space="0"/>
              <w:right w:val="single" w:color="auto" w:sz="4" w:space="0"/>
            </w:tcBorders>
            <w:vAlign w:val="center"/>
          </w:tcPr>
          <w:p w14:paraId="50ACA499">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高海拔高寒环境导致文旅配套设施建设、运维成本偏高，现有产品季节性供给特征突出，冬春淡季产品供给不足、四季均衡运营能力偏弱，沉浸式、体验式、参与式业态占比不高。后续需持续补齐基础设施短板，丰富全季节、全时段文旅产品矩阵，优化游客精细化服务体系，有效延长消费链条、提升综合文旅体验。</w:t>
            </w:r>
          </w:p>
        </w:tc>
      </w:tr>
      <w:tr w14:paraId="449A6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0" w:hRule="atLeast"/>
        </w:trPr>
        <w:tc>
          <w:tcPr>
            <w:tcW w:w="1701" w:type="dxa"/>
            <w:tcBorders>
              <w:top w:val="single" w:color="auto" w:sz="4" w:space="0"/>
              <w:left w:val="single" w:color="auto" w:sz="4" w:space="0"/>
              <w:bottom w:val="single" w:color="auto" w:sz="4" w:space="0"/>
              <w:right w:val="single" w:color="auto" w:sz="4" w:space="0"/>
            </w:tcBorders>
            <w:vAlign w:val="center"/>
          </w:tcPr>
          <w:p w14:paraId="6E4A1B49">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绿色矿产业</w:t>
            </w:r>
          </w:p>
        </w:tc>
        <w:tc>
          <w:tcPr>
            <w:tcW w:w="1276" w:type="dxa"/>
            <w:tcBorders>
              <w:top w:val="single" w:color="auto" w:sz="4" w:space="0"/>
              <w:left w:val="single" w:color="auto" w:sz="4" w:space="0"/>
              <w:bottom w:val="single" w:color="auto" w:sz="4" w:space="0"/>
              <w:right w:val="single" w:color="auto" w:sz="4" w:space="0"/>
            </w:tcBorders>
            <w:vAlign w:val="center"/>
          </w:tcPr>
          <w:p w14:paraId="2C05AA4B">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坚持生态优先、科技赋能导向，推进优势矿产资源绿色高效转化，实现富民兴边、产业发展与生态安全协同共赢。</w:t>
            </w:r>
          </w:p>
        </w:tc>
        <w:tc>
          <w:tcPr>
            <w:tcW w:w="3118" w:type="dxa"/>
            <w:tcBorders>
              <w:top w:val="single" w:color="auto" w:sz="4" w:space="0"/>
              <w:left w:val="single" w:color="auto" w:sz="4" w:space="0"/>
              <w:bottom w:val="single" w:color="auto" w:sz="4" w:space="0"/>
              <w:right w:val="single" w:color="auto" w:sz="4" w:space="0"/>
            </w:tcBorders>
            <w:vAlign w:val="center"/>
          </w:tcPr>
          <w:p w14:paraId="7062D2F0">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资源禀赋优势显著，那曲素有“羌塘聚宝盆”之称，矿产资源种类丰富、储备体量较大、开发潜力突出；</w:t>
            </w:r>
          </w:p>
          <w:p w14:paraId="1A433D45">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政策约束与保障双向发力，严格对标《青藏高原生态保护法》，坚守生态保护红线、环境质量底线、资源利用上线，坚持开发与保护并重；</w:t>
            </w:r>
          </w:p>
          <w:p w14:paraId="2092521D">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技术支撑持续强化，依托绿色勘探、高原适配开采技术逐步破解超高海拔开发技术难题；利益联结机制不断健全，逐步构建资源分红、就业带动、产业赋能的长效机制，保障本地群众稳定共享资源开发收益。</w:t>
            </w:r>
          </w:p>
        </w:tc>
        <w:tc>
          <w:tcPr>
            <w:tcW w:w="2807" w:type="dxa"/>
            <w:tcBorders>
              <w:top w:val="single" w:color="auto" w:sz="4" w:space="0"/>
              <w:left w:val="single" w:color="auto" w:sz="4" w:space="0"/>
              <w:bottom w:val="single" w:color="auto" w:sz="4" w:space="0"/>
              <w:right w:val="single" w:color="auto" w:sz="4" w:space="0"/>
            </w:tcBorders>
          </w:tcPr>
          <w:p w14:paraId="2864F868">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高寒草原生态系统极度脆弱、自我修复周期长、修复难度大、治理成本高，超高海拔绿色开采、资源综合利用、智能采矿相关技术储备不足、落地应用有限；跨部门协同治理、全流程长效监管体系尚不健全，矿产项目投资规模大、建设周期长、投资回报周期偏长。后续聚焦科技赋能、制度创新、业态融合，积极构建“矿业+新能源+循环经济”绿色发展模式，推动矿业产业低碳化、绿色化、集约化转型升级。</w:t>
            </w:r>
          </w:p>
        </w:tc>
      </w:tr>
      <w:tr w14:paraId="394B7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0" w:hRule="atLeast"/>
        </w:trPr>
        <w:tc>
          <w:tcPr>
            <w:tcW w:w="1701" w:type="dxa"/>
            <w:tcBorders>
              <w:top w:val="single" w:color="auto" w:sz="4" w:space="0"/>
              <w:left w:val="single" w:color="auto" w:sz="4" w:space="0"/>
              <w:bottom w:val="single" w:color="auto" w:sz="4" w:space="0"/>
              <w:right w:val="single" w:color="auto" w:sz="4" w:space="0"/>
            </w:tcBorders>
            <w:vAlign w:val="center"/>
          </w:tcPr>
          <w:p w14:paraId="727DA80A">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交通物流产业</w:t>
            </w:r>
          </w:p>
        </w:tc>
        <w:tc>
          <w:tcPr>
            <w:tcW w:w="1276" w:type="dxa"/>
            <w:tcBorders>
              <w:top w:val="single" w:color="auto" w:sz="4" w:space="0"/>
              <w:left w:val="single" w:color="auto" w:sz="4" w:space="0"/>
              <w:bottom w:val="single" w:color="auto" w:sz="4" w:space="0"/>
              <w:right w:val="single" w:color="auto" w:sz="4" w:space="0"/>
            </w:tcBorders>
            <w:vAlign w:val="center"/>
          </w:tcPr>
          <w:p w14:paraId="59A48EBA">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打造藏北区域综合物流枢纽，完善城乡双向物流体系，服务“一带一路”建设，畅通“工业品下乡、农畜产品进城”流通渠道。</w:t>
            </w:r>
          </w:p>
        </w:tc>
        <w:tc>
          <w:tcPr>
            <w:tcW w:w="3118" w:type="dxa"/>
            <w:tcBorders>
              <w:top w:val="single" w:color="auto" w:sz="4" w:space="0"/>
              <w:left w:val="single" w:color="auto" w:sz="4" w:space="0"/>
              <w:bottom w:val="single" w:color="auto" w:sz="4" w:space="0"/>
              <w:right w:val="single" w:color="auto" w:sz="4" w:space="0"/>
            </w:tcBorders>
            <w:vAlign w:val="center"/>
          </w:tcPr>
          <w:p w14:paraId="19046298">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交通基础设施迭代升级，“三横四纵四通道”公路骨架基本成型，9条省道黑色化改造工程纳入国家“十五五”规划，</w:t>
            </w:r>
            <w:r>
              <w:rPr>
                <w:rFonts w:hint="eastAsia" w:ascii="Times New Roman" w:hAnsi="Times New Roman" w:eastAsia="方正仿宋简体" w:cs="方正仿宋简体"/>
                <w:bCs/>
                <w:sz w:val="21"/>
                <w:szCs w:val="21"/>
                <w:lang w:val="en-US" w:eastAsia="zh-CN"/>
              </w:rPr>
              <w:t>那曲</w:t>
            </w:r>
            <w:r>
              <w:rPr>
                <w:rFonts w:ascii="Times New Roman" w:hAnsi="Times New Roman" w:eastAsia="方正仿宋简体" w:cs="方正仿宋简体"/>
                <w:bCs/>
                <w:sz w:val="21"/>
                <w:szCs w:val="21"/>
                <w:lang w:val="en-US" w:eastAsia="zh-CN"/>
              </w:rPr>
              <w:t>内外通达性持续提升；</w:t>
            </w:r>
          </w:p>
          <w:p w14:paraId="58471FB5">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物流枢纽加速智慧转型，青藏铁路那曲物流中心持续推进智能化升级改造，配套智能分拣、物联网管控系统，有效提升仓储、分拨、配送一体化效能；物流业态持续创新，全面推广“</w:t>
            </w:r>
            <w:r>
              <w:rPr>
                <w:rFonts w:hint="eastAsia" w:ascii="Times New Roman" w:hAnsi="Times New Roman" w:eastAsia="方正仿宋简体" w:cs="方正仿宋简体"/>
                <w:bCs/>
                <w:sz w:val="21"/>
                <w:szCs w:val="21"/>
                <w:lang w:val="en-US" w:eastAsia="zh-CN"/>
              </w:rPr>
              <w:t>邮快</w:t>
            </w:r>
            <w:r>
              <w:rPr>
                <w:rFonts w:ascii="Times New Roman" w:hAnsi="Times New Roman" w:eastAsia="方正仿宋简体" w:cs="方正仿宋简体"/>
                <w:bCs/>
                <w:sz w:val="21"/>
                <w:szCs w:val="21"/>
                <w:lang w:val="en-US" w:eastAsia="zh-CN"/>
              </w:rPr>
              <w:t>”合作、交邮融合模式，有效打通乡村物流末端梗阻；</w:t>
            </w:r>
          </w:p>
          <w:p w14:paraId="3B984F53">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数字基建全域覆盖，为物流数字化、智能化、标准化发展提供坚实支撑，藏北区域物流枢纽区位优势持续凸显。</w:t>
            </w:r>
          </w:p>
          <w:p w14:paraId="5D28048F">
            <w:pPr>
              <w:widowControl/>
              <w:spacing w:line="270" w:lineRule="exact"/>
              <w:jc w:val="both"/>
              <w:rPr>
                <w:rFonts w:ascii="Times New Roman" w:hAnsi="Times New Roman" w:eastAsia="方正仿宋简体" w:cs="方正仿宋简体"/>
                <w:bCs/>
                <w:sz w:val="21"/>
                <w:szCs w:val="21"/>
                <w:lang w:val="en-US" w:eastAsia="zh-CN"/>
              </w:rPr>
            </w:pPr>
          </w:p>
        </w:tc>
        <w:tc>
          <w:tcPr>
            <w:tcW w:w="2807" w:type="dxa"/>
            <w:tcBorders>
              <w:top w:val="single" w:color="auto" w:sz="4" w:space="0"/>
              <w:left w:val="single" w:color="auto" w:sz="4" w:space="0"/>
              <w:bottom w:val="single" w:color="auto" w:sz="4" w:space="0"/>
              <w:right w:val="single" w:color="auto" w:sz="4" w:space="0"/>
            </w:tcBorders>
            <w:vAlign w:val="center"/>
          </w:tcPr>
          <w:p w14:paraId="6343C0E2">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高海拔高寒环境造成基础设施运维成本偏高，城乡物流发展不均衡、镇村物流服务覆盖不足，物流标准化、信息化、集约化发展水平偏低，物流与特色产业联动赋能效应未充分释放。后续重点发展多式联运、干支衔接物流体系，持续深化交邮融合、邮快融合业态，补齐冷链物流设施短板，深度推动“物流+特色产业”融合发展。</w:t>
            </w:r>
          </w:p>
        </w:tc>
      </w:tr>
      <w:tr w14:paraId="168A2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4" w:hRule="atLeast"/>
        </w:trPr>
        <w:tc>
          <w:tcPr>
            <w:tcW w:w="1701" w:type="dxa"/>
            <w:tcBorders>
              <w:top w:val="single" w:color="auto" w:sz="4" w:space="0"/>
              <w:left w:val="single" w:color="auto" w:sz="4" w:space="0"/>
              <w:bottom w:val="single" w:color="auto" w:sz="4" w:space="0"/>
              <w:right w:val="single" w:color="auto" w:sz="4" w:space="0"/>
            </w:tcBorders>
            <w:vAlign w:val="center"/>
          </w:tcPr>
          <w:p w14:paraId="2011410B">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民族手工业</w:t>
            </w:r>
          </w:p>
        </w:tc>
        <w:tc>
          <w:tcPr>
            <w:tcW w:w="1276" w:type="dxa"/>
            <w:tcBorders>
              <w:top w:val="single" w:color="auto" w:sz="4" w:space="0"/>
              <w:left w:val="single" w:color="auto" w:sz="4" w:space="0"/>
              <w:bottom w:val="single" w:color="auto" w:sz="4" w:space="0"/>
              <w:right w:val="single" w:color="auto" w:sz="4" w:space="0"/>
            </w:tcBorders>
            <w:vAlign w:val="center"/>
          </w:tcPr>
          <w:p w14:paraId="50F90455">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激活非遗文化资源，推动传统手工技艺活态传承，实现“指尖技艺”向“指尖经济”转化，助力乡村产业振兴与农牧民增收。</w:t>
            </w:r>
          </w:p>
        </w:tc>
        <w:tc>
          <w:tcPr>
            <w:tcW w:w="3118" w:type="dxa"/>
            <w:tcBorders>
              <w:top w:val="single" w:color="auto" w:sz="4" w:space="0"/>
              <w:left w:val="single" w:color="auto" w:sz="4" w:space="0"/>
              <w:bottom w:val="single" w:color="auto" w:sz="4" w:space="0"/>
              <w:right w:val="single" w:color="auto" w:sz="4" w:space="0"/>
            </w:tcBorders>
            <w:vAlign w:val="center"/>
          </w:tcPr>
          <w:p w14:paraId="7C2819B3">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平台载体持续完善，全市建成一批市县级非遗工坊，为传统手工技艺规范化、标准化传承生产提供载体；</w:t>
            </w:r>
          </w:p>
          <w:p w14:paraId="296EECA7">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营销渠道不断拓宽，依托电商直播、线上商超等新媒体平台打破地域限制，联动物流体系打通农村电商末端通道，有效拓展全国消费市场；</w:t>
            </w:r>
          </w:p>
          <w:p w14:paraId="1F7989A1">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人才培育体系逐步成型，常态化开展非遗技艺、现代经营管理专项培训，夯实产业人才基础；产业融合持续深化，积极探索“非遗+文旅+文创”融合模式，推动传统工艺适配现代审美与市场需求，实现文化价值与经济价值双向转化。</w:t>
            </w:r>
          </w:p>
        </w:tc>
        <w:tc>
          <w:tcPr>
            <w:tcW w:w="2807" w:type="dxa"/>
            <w:tcBorders>
              <w:top w:val="single" w:color="auto" w:sz="4" w:space="0"/>
              <w:left w:val="single" w:color="auto" w:sz="4" w:space="0"/>
              <w:bottom w:val="single" w:color="auto" w:sz="4" w:space="0"/>
              <w:right w:val="single" w:color="auto" w:sz="4" w:space="0"/>
            </w:tcBorders>
            <w:vAlign w:val="center"/>
          </w:tcPr>
          <w:p w14:paraId="14A1997E">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产业整体生产标准化、集约化、机械化程度偏低，小作坊、散户生产模式普遍，品牌影响力与市场核心竞争力不足，非遗技艺传承青年人才短缺、存在阶段性断层隐患。后续聚焦工艺革新、产品创新、品牌塑造、人才培育，优化产业组织模式，完善联农带农利益联结机制，推动产业集群化、标准化、品牌化发展。</w:t>
            </w:r>
          </w:p>
        </w:tc>
      </w:tr>
      <w:tr w14:paraId="7D049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7" w:hRule="atLeast"/>
        </w:trPr>
        <w:tc>
          <w:tcPr>
            <w:tcW w:w="1701" w:type="dxa"/>
            <w:tcBorders>
              <w:top w:val="single" w:color="auto" w:sz="4" w:space="0"/>
              <w:left w:val="single" w:color="auto" w:sz="4" w:space="0"/>
              <w:bottom w:val="single" w:color="auto" w:sz="4" w:space="0"/>
              <w:right w:val="single" w:color="auto" w:sz="4" w:space="0"/>
            </w:tcBorders>
            <w:vAlign w:val="center"/>
          </w:tcPr>
          <w:p w14:paraId="4DD9E70B">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高原特色种植业</w:t>
            </w:r>
          </w:p>
        </w:tc>
        <w:tc>
          <w:tcPr>
            <w:tcW w:w="1276" w:type="dxa"/>
            <w:tcBorders>
              <w:top w:val="single" w:color="auto" w:sz="4" w:space="0"/>
              <w:left w:val="single" w:color="auto" w:sz="4" w:space="0"/>
              <w:bottom w:val="single" w:color="auto" w:sz="4" w:space="0"/>
              <w:right w:val="single" w:color="auto" w:sz="4" w:space="0"/>
            </w:tcBorders>
            <w:vAlign w:val="center"/>
          </w:tcPr>
          <w:p w14:paraId="3B8161D8">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依托农业科技突破高海拔种植限制，发展设施农业与生态种植，保障高原“菜篮子”供给，培育高原特色农产品品牌，助力乡村振兴。</w:t>
            </w:r>
          </w:p>
        </w:tc>
        <w:tc>
          <w:tcPr>
            <w:tcW w:w="3118" w:type="dxa"/>
            <w:tcBorders>
              <w:top w:val="single" w:color="auto" w:sz="4" w:space="0"/>
              <w:left w:val="single" w:color="auto" w:sz="4" w:space="0"/>
              <w:bottom w:val="single" w:color="auto" w:sz="4" w:space="0"/>
              <w:right w:val="single" w:color="auto" w:sz="4" w:space="0"/>
            </w:tcBorders>
            <w:vAlign w:val="center"/>
          </w:tcPr>
          <w:p w14:paraId="6D9374EE">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科技示范成效逐步显现，依托技术攻关、试点推广、党员示范带动等模式，逐步破解超高海拔种植适应性弱、产量不稳定等难题；</w:t>
            </w:r>
          </w:p>
          <w:p w14:paraId="4CF9CA04">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经营模式不断创新，推广“党支部+合作社+牧户+积分制”联动模式，构建农牧民深度参与、红利共享的良性发展机制；</w:t>
            </w:r>
          </w:p>
          <w:p w14:paraId="25C7E986">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援藏赋能成效凸显，对口支援省市持续注入资金、项目与先进发展理念，有效优化市域种植产业结构；</w:t>
            </w:r>
          </w:p>
          <w:p w14:paraId="01568D01">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市场与基建持续完善，依托各类展销平台拓宽农产品销售渠道，交通、通信、水利等基础设施持续升级，</w:t>
            </w:r>
            <w:bookmarkStart w:id="486" w:name="OLE_LINK162"/>
            <w:r>
              <w:rPr>
                <w:rFonts w:ascii="Times New Roman" w:hAnsi="Times New Roman" w:eastAsia="方正仿宋简体" w:cs="方正仿宋简体"/>
                <w:bCs/>
                <w:sz w:val="21"/>
                <w:szCs w:val="21"/>
                <w:lang w:val="en-US" w:eastAsia="zh-CN"/>
              </w:rPr>
              <w:t>梅帕塘水库</w:t>
            </w:r>
            <w:bookmarkEnd w:id="486"/>
            <w:r>
              <w:rPr>
                <w:rFonts w:ascii="Times New Roman" w:hAnsi="Times New Roman" w:eastAsia="方正仿宋简体" w:cs="方正仿宋简体"/>
                <w:bCs/>
                <w:sz w:val="21"/>
                <w:szCs w:val="21"/>
                <w:lang w:val="en-US" w:eastAsia="zh-CN"/>
              </w:rPr>
              <w:t>等重点水利工程为种植产业灌溉保障、稳产增收提供坚实支撑。</w:t>
            </w:r>
          </w:p>
        </w:tc>
        <w:tc>
          <w:tcPr>
            <w:tcW w:w="2807" w:type="dxa"/>
            <w:tcBorders>
              <w:top w:val="single" w:color="auto" w:sz="4" w:space="0"/>
              <w:left w:val="single" w:color="auto" w:sz="4" w:space="0"/>
              <w:bottom w:val="single" w:color="auto" w:sz="4" w:space="0"/>
              <w:right w:val="single" w:color="auto" w:sz="4" w:space="0"/>
            </w:tcBorders>
            <w:vAlign w:val="center"/>
          </w:tcPr>
          <w:p w14:paraId="706C123D">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超高海拔、低温缺氧、无霜期短等自然条件严苛，种植业整体产业链条偏短、精深加工能力不足、产品附加值偏低，现代农业科技落地应用覆盖面、深度不够。后续聚焦良种培育、高原适配技术赋能、产业链条延伸、产业模式创新，深化政企研协同合作，推动高原种植业规模化、标准化、品牌化稳步发展。</w:t>
            </w:r>
          </w:p>
        </w:tc>
      </w:tr>
      <w:tr w14:paraId="6C80B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3" w:hRule="atLeast"/>
        </w:trPr>
        <w:tc>
          <w:tcPr>
            <w:tcW w:w="1701" w:type="dxa"/>
            <w:tcBorders>
              <w:top w:val="single" w:color="auto" w:sz="4" w:space="0"/>
              <w:left w:val="single" w:color="auto" w:sz="4" w:space="0"/>
              <w:bottom w:val="single" w:color="auto" w:sz="4" w:space="0"/>
              <w:right w:val="single" w:color="auto" w:sz="4" w:space="0"/>
            </w:tcBorders>
            <w:vAlign w:val="center"/>
          </w:tcPr>
          <w:p w14:paraId="33CDCF19">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天然饮用水产业</w:t>
            </w:r>
          </w:p>
        </w:tc>
        <w:tc>
          <w:tcPr>
            <w:tcW w:w="1276" w:type="dxa"/>
            <w:tcBorders>
              <w:top w:val="single" w:color="auto" w:sz="4" w:space="0"/>
              <w:left w:val="single" w:color="auto" w:sz="4" w:space="0"/>
              <w:bottom w:val="single" w:color="auto" w:sz="4" w:space="0"/>
              <w:right w:val="single" w:color="auto" w:sz="4" w:space="0"/>
            </w:tcBorders>
            <w:vAlign w:val="center"/>
          </w:tcPr>
          <w:p w14:paraId="798EBC55">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eastAsia="zh-CN"/>
              </w:rPr>
              <w:t>依托世界级极地水源禀赋，打造高原高端天然饮用水特色产业基地，推动水源优势向品牌优势、经济优势转化。</w:t>
            </w:r>
          </w:p>
        </w:tc>
        <w:tc>
          <w:tcPr>
            <w:tcW w:w="3118" w:type="dxa"/>
            <w:tcBorders>
              <w:top w:val="single" w:color="auto" w:sz="4" w:space="0"/>
              <w:left w:val="single" w:color="auto" w:sz="4" w:space="0"/>
              <w:bottom w:val="single" w:color="auto" w:sz="4" w:space="0"/>
              <w:right w:val="single" w:color="auto" w:sz="4" w:space="0"/>
            </w:tcBorders>
            <w:vAlign w:val="center"/>
          </w:tcPr>
          <w:p w14:paraId="73DC094E">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水源禀赋稀缺独特，境内分布3000余个高原湖泊，覆盖长江、怒江等大江源头水系，全域平均海拔4500米以上、工业污染趋近于零，水源富含偏硅酸、锂、锶、硒等有益微量元素，原生态纯净度位居全国前列，形成不可复制的资源壁垒；</w:t>
            </w:r>
          </w:p>
          <w:p w14:paraId="5B5DDC10">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政策赋能体系多层联动，产业纳入自治区天然饮用水中长期核心发展体系，落实出藏运费专项补贴、数字化智能化改造扶持等硬核举措，市级层面统筹优质水源勘察、生态环境监测、高海拔加工技术研发攻关；</w:t>
            </w:r>
          </w:p>
          <w:p w14:paraId="3AD02CDA">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龙头培育与市场拓展并进，成功引入农夫山泉、西藏初源水业等行业龙头，依托</w:t>
            </w:r>
            <w:r>
              <w:rPr>
                <w:rFonts w:hint="eastAsia" w:ascii="Times New Roman" w:hAnsi="Times New Roman" w:eastAsia="方正仿宋简体" w:cs="方正仿宋简体"/>
                <w:bCs/>
                <w:sz w:val="21"/>
                <w:szCs w:val="21"/>
                <w:lang w:val="en-US" w:eastAsia="zh-CN"/>
              </w:rPr>
              <w:t>“</w:t>
            </w:r>
            <w:r>
              <w:rPr>
                <w:rFonts w:ascii="Times New Roman" w:hAnsi="Times New Roman" w:eastAsia="方正仿宋简体" w:cs="方正仿宋简体"/>
                <w:bCs/>
                <w:sz w:val="21"/>
                <w:szCs w:val="21"/>
                <w:lang w:val="en-US" w:eastAsia="zh-CN"/>
              </w:rPr>
              <w:t>西藏好水</w:t>
            </w:r>
            <w:r>
              <w:rPr>
                <w:rFonts w:hint="eastAsia" w:ascii="Times New Roman" w:hAnsi="Times New Roman" w:eastAsia="方正仿宋简体" w:cs="方正仿宋简体"/>
                <w:bCs/>
                <w:sz w:val="21"/>
                <w:szCs w:val="21"/>
                <w:lang w:val="en-US" w:eastAsia="zh-CN"/>
              </w:rPr>
              <w:t>”</w:t>
            </w:r>
            <w:r>
              <w:rPr>
                <w:rFonts w:ascii="Times New Roman" w:hAnsi="Times New Roman" w:eastAsia="方正仿宋简体" w:cs="方正仿宋简体"/>
                <w:bCs/>
                <w:sz w:val="21"/>
                <w:szCs w:val="21"/>
                <w:lang w:val="en-US" w:eastAsia="zh-CN"/>
              </w:rPr>
              <w:t>省级公共品牌，持续开发高端功能水、极地文创定制水等增值业态，产品溢价能力稳步提升。</w:t>
            </w:r>
          </w:p>
        </w:tc>
        <w:tc>
          <w:tcPr>
            <w:tcW w:w="2807" w:type="dxa"/>
            <w:tcBorders>
              <w:top w:val="single" w:color="auto" w:sz="4" w:space="0"/>
              <w:left w:val="single" w:color="auto" w:sz="4" w:space="0"/>
              <w:bottom w:val="single" w:color="auto" w:sz="4" w:space="0"/>
              <w:right w:val="single" w:color="auto" w:sz="4" w:space="0"/>
            </w:tcBorders>
            <w:vAlign w:val="center"/>
          </w:tcPr>
          <w:p w14:paraId="5F557545">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eastAsia="zh-CN"/>
              </w:rPr>
              <w:t>当前产业尚处培育起步阶段，高海拔设备运维成本偏高、初期产能利用率不足、产业集群尚未成型、本土龙头企业规模偏小，品牌市场占有率仍处培育期。后续需严守</w:t>
            </w:r>
            <w:r>
              <w:rPr>
                <w:rFonts w:hint="eastAsia" w:ascii="Times New Roman" w:hAnsi="Times New Roman" w:eastAsia="方正仿宋简体" w:cs="方正仿宋简体"/>
                <w:bCs/>
                <w:sz w:val="21"/>
                <w:szCs w:val="21"/>
                <w:lang w:eastAsia="zh-CN"/>
              </w:rPr>
              <w:t>生态保护红线</w:t>
            </w:r>
            <w:r>
              <w:rPr>
                <w:rFonts w:ascii="Times New Roman" w:hAnsi="Times New Roman" w:eastAsia="方正仿宋简体" w:cs="方正仿宋简体"/>
                <w:bCs/>
                <w:sz w:val="21"/>
                <w:szCs w:val="21"/>
                <w:lang w:eastAsia="zh-CN"/>
              </w:rPr>
              <w:t>，强化</w:t>
            </w:r>
            <w:r>
              <w:rPr>
                <w:rFonts w:hint="eastAsia" w:ascii="Times New Roman" w:hAnsi="Times New Roman" w:eastAsia="方正仿宋简体" w:cs="方正仿宋简体"/>
                <w:bCs/>
                <w:sz w:val="21"/>
                <w:szCs w:val="21"/>
                <w:lang w:eastAsia="zh-CN"/>
              </w:rPr>
              <w:t>“</w:t>
            </w:r>
            <w:r>
              <w:rPr>
                <w:rFonts w:ascii="Times New Roman" w:hAnsi="Times New Roman" w:eastAsia="方正仿宋简体" w:cs="方正仿宋简体"/>
                <w:bCs/>
                <w:sz w:val="21"/>
                <w:szCs w:val="21"/>
                <w:lang w:eastAsia="zh-CN"/>
              </w:rPr>
              <w:t>一塔四源</w:t>
            </w:r>
            <w:r>
              <w:rPr>
                <w:rFonts w:hint="eastAsia" w:ascii="Times New Roman" w:hAnsi="Times New Roman" w:eastAsia="方正仿宋简体" w:cs="方正仿宋简体"/>
                <w:bCs/>
                <w:sz w:val="21"/>
                <w:szCs w:val="21"/>
                <w:lang w:eastAsia="zh-CN"/>
              </w:rPr>
              <w:t>”</w:t>
            </w:r>
            <w:r>
              <w:rPr>
                <w:rFonts w:ascii="Times New Roman" w:hAnsi="Times New Roman" w:eastAsia="方正仿宋简体" w:cs="方正仿宋简体"/>
                <w:bCs/>
                <w:sz w:val="21"/>
                <w:szCs w:val="21"/>
                <w:lang w:eastAsia="zh-CN"/>
              </w:rPr>
              <w:t>水源地生态监测管控，推进水厂智能化改造与高海拔适配工艺技术攻关，完善全链条溯源体系，做强</w:t>
            </w:r>
            <w:r>
              <w:rPr>
                <w:rFonts w:hint="eastAsia" w:ascii="Times New Roman" w:hAnsi="Times New Roman" w:eastAsia="方正仿宋简体" w:cs="方正仿宋简体"/>
                <w:bCs/>
                <w:sz w:val="21"/>
                <w:szCs w:val="21"/>
                <w:lang w:eastAsia="zh-CN"/>
              </w:rPr>
              <w:t>“</w:t>
            </w:r>
            <w:r>
              <w:rPr>
                <w:rFonts w:ascii="Times New Roman" w:hAnsi="Times New Roman" w:eastAsia="方正仿宋简体" w:cs="方正仿宋简体"/>
                <w:bCs/>
                <w:sz w:val="21"/>
                <w:szCs w:val="21"/>
                <w:lang w:eastAsia="zh-CN"/>
              </w:rPr>
              <w:t>极地好水（那水）</w:t>
            </w:r>
            <w:r>
              <w:rPr>
                <w:rFonts w:hint="eastAsia" w:ascii="Times New Roman" w:hAnsi="Times New Roman" w:eastAsia="方正仿宋简体" w:cs="方正仿宋简体"/>
                <w:bCs/>
                <w:sz w:val="21"/>
                <w:szCs w:val="21"/>
                <w:lang w:eastAsia="zh-CN"/>
              </w:rPr>
              <w:t>”</w:t>
            </w:r>
            <w:r>
              <w:rPr>
                <w:rFonts w:ascii="Times New Roman" w:hAnsi="Times New Roman" w:eastAsia="方正仿宋简体" w:cs="方正仿宋简体"/>
                <w:bCs/>
                <w:sz w:val="21"/>
                <w:szCs w:val="21"/>
                <w:lang w:eastAsia="zh-CN"/>
              </w:rPr>
              <w:t>区域品牌，深化与文旅、清洁能源等产业融合，推动产业由特色潜力产业向战略性支柱产业迭代进阶。</w:t>
            </w:r>
          </w:p>
        </w:tc>
      </w:tr>
      <w:tr w14:paraId="09D8A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2" w:hRule="atLeast"/>
        </w:trPr>
        <w:tc>
          <w:tcPr>
            <w:tcW w:w="1701" w:type="dxa"/>
            <w:tcBorders>
              <w:top w:val="single" w:color="auto" w:sz="4" w:space="0"/>
              <w:left w:val="single" w:color="auto" w:sz="4" w:space="0"/>
              <w:bottom w:val="single" w:color="auto" w:sz="4" w:space="0"/>
              <w:right w:val="single" w:color="auto" w:sz="4" w:space="0"/>
            </w:tcBorders>
            <w:vAlign w:val="center"/>
          </w:tcPr>
          <w:p w14:paraId="21C2911C">
            <w:pPr>
              <w:widowControl/>
              <w:spacing w:line="270" w:lineRule="exact"/>
              <w:jc w:val="both"/>
              <w:rPr>
                <w:rFonts w:ascii="Times New Roman" w:hAnsi="Times New Roman" w:eastAsia="方正仿宋简体" w:cs="方正仿宋简体"/>
                <w:bCs/>
                <w:sz w:val="21"/>
                <w:szCs w:val="21"/>
                <w:lang w:eastAsia="zh-CN"/>
              </w:rPr>
            </w:pPr>
            <w:bookmarkStart w:id="487" w:name="_Hlk240636705"/>
            <w:r>
              <w:rPr>
                <w:rFonts w:hint="eastAsia" w:ascii="Times New Roman" w:hAnsi="Times New Roman" w:eastAsia="方正仿宋简体" w:cs="方正仿宋简体"/>
                <w:bCs/>
                <w:sz w:val="21"/>
                <w:szCs w:val="21"/>
                <w:lang w:eastAsia="zh-CN"/>
              </w:rPr>
              <w:t>卤虫卵产业</w:t>
            </w:r>
          </w:p>
        </w:tc>
        <w:tc>
          <w:tcPr>
            <w:tcW w:w="1276" w:type="dxa"/>
            <w:tcBorders>
              <w:top w:val="single" w:color="auto" w:sz="4" w:space="0"/>
              <w:left w:val="single" w:color="auto" w:sz="4" w:space="0"/>
              <w:bottom w:val="single" w:color="auto" w:sz="4" w:space="0"/>
              <w:right w:val="single" w:color="auto" w:sz="4" w:space="0"/>
            </w:tcBorders>
            <w:vAlign w:val="center"/>
          </w:tcPr>
          <w:p w14:paraId="404598F1">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eastAsia="zh-CN"/>
              </w:rPr>
              <w:t>依托极地盐湖稀缺资源，打造高原特色生物产业新增长极，推动卤虫卵由原料外销向精深加工、高值化开发转型。</w:t>
            </w:r>
          </w:p>
        </w:tc>
        <w:tc>
          <w:tcPr>
            <w:tcW w:w="3118" w:type="dxa"/>
            <w:tcBorders>
              <w:top w:val="single" w:color="auto" w:sz="4" w:space="0"/>
              <w:left w:val="single" w:color="auto" w:sz="4" w:space="0"/>
              <w:bottom w:val="single" w:color="auto" w:sz="4" w:space="0"/>
              <w:right w:val="single" w:color="auto" w:sz="4" w:space="0"/>
            </w:tcBorders>
            <w:vAlign w:val="center"/>
          </w:tcPr>
          <w:p w14:paraId="4909311D">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资源禀赋不可复制，双湖县其香错盐湖是国内稀缺的高海拔优质卤虫卵核心产区，产出的卤虫卵孵化率高、营养密度大、品质显著优于沿海及内陆盐湖，被誉为</w:t>
            </w:r>
            <w:r>
              <w:rPr>
                <w:rFonts w:hint="eastAsia" w:ascii="Times New Roman" w:hAnsi="Times New Roman" w:eastAsia="方正仿宋简体" w:cs="方正仿宋简体"/>
                <w:bCs/>
                <w:sz w:val="21"/>
                <w:szCs w:val="21"/>
                <w:lang w:val="en-US" w:eastAsia="zh-CN"/>
              </w:rPr>
              <w:t>“</w:t>
            </w:r>
            <w:r>
              <w:rPr>
                <w:rFonts w:ascii="Times New Roman" w:hAnsi="Times New Roman" w:eastAsia="方正仿宋简体" w:cs="方正仿宋简体"/>
                <w:bCs/>
                <w:sz w:val="21"/>
                <w:szCs w:val="21"/>
                <w:lang w:val="en-US" w:eastAsia="zh-CN"/>
              </w:rPr>
              <w:t>水黄金</w:t>
            </w:r>
            <w:r>
              <w:rPr>
                <w:rFonts w:hint="eastAsia" w:ascii="Times New Roman" w:hAnsi="Times New Roman" w:eastAsia="方正仿宋简体" w:cs="方正仿宋简体"/>
                <w:bCs/>
                <w:sz w:val="21"/>
                <w:szCs w:val="21"/>
                <w:lang w:val="en-US" w:eastAsia="zh-CN"/>
              </w:rPr>
              <w:t>”“</w:t>
            </w:r>
            <w:r>
              <w:rPr>
                <w:rFonts w:ascii="Times New Roman" w:hAnsi="Times New Roman" w:eastAsia="方正仿宋简体" w:cs="方正仿宋简体"/>
                <w:bCs/>
                <w:sz w:val="21"/>
                <w:szCs w:val="21"/>
                <w:lang w:val="en-US" w:eastAsia="zh-CN"/>
              </w:rPr>
              <w:t>大海金粉</w:t>
            </w:r>
            <w:r>
              <w:rPr>
                <w:rFonts w:hint="eastAsia" w:ascii="Times New Roman" w:hAnsi="Times New Roman" w:eastAsia="方正仿宋简体" w:cs="方正仿宋简体"/>
                <w:bCs/>
                <w:sz w:val="21"/>
                <w:szCs w:val="21"/>
                <w:lang w:val="en-US" w:eastAsia="zh-CN"/>
              </w:rPr>
              <w:t>”</w:t>
            </w:r>
            <w:r>
              <w:rPr>
                <w:rFonts w:ascii="Times New Roman" w:hAnsi="Times New Roman" w:eastAsia="方正仿宋简体" w:cs="方正仿宋简体"/>
                <w:bCs/>
                <w:sz w:val="21"/>
                <w:szCs w:val="21"/>
                <w:lang w:val="en-US" w:eastAsia="zh-CN"/>
              </w:rPr>
              <w:t>；</w:t>
            </w:r>
          </w:p>
          <w:p w14:paraId="00ADFE08">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精深加工跨越升级，依托援藏资金援建的深加工厂投产运营，加工后产品售价较毛料提升约45%，设计年处理原料500吨、年产成品250余吨，规模化加工产能基本成型；</w:t>
            </w:r>
          </w:p>
          <w:p w14:paraId="2DF719E0">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富民成效显著，产业常态化带动近3000名群众持续增收，参与捕捞群众人均增</w:t>
            </w:r>
            <w:r>
              <w:rPr>
                <w:rFonts w:hint="eastAsia" w:ascii="Times New Roman" w:hAnsi="Times New Roman" w:eastAsia="方正仿宋简体" w:cs="方正仿宋简体"/>
                <w:bCs/>
                <w:sz w:val="21"/>
                <w:szCs w:val="21"/>
                <w:lang w:val="en-US" w:eastAsia="zh-CN"/>
              </w:rPr>
              <w:t>收明显</w:t>
            </w:r>
            <w:r>
              <w:rPr>
                <w:rFonts w:ascii="Times New Roman" w:hAnsi="Times New Roman" w:eastAsia="方正仿宋简体" w:cs="方正仿宋简体"/>
                <w:bCs/>
                <w:sz w:val="21"/>
                <w:szCs w:val="21"/>
                <w:lang w:val="en-US" w:eastAsia="zh-CN"/>
              </w:rPr>
              <w:t>，成为巩固拓展脱贫攻坚成果、助力乡村振兴的民生支柱产业。</w:t>
            </w:r>
          </w:p>
        </w:tc>
        <w:tc>
          <w:tcPr>
            <w:tcW w:w="2807" w:type="dxa"/>
            <w:tcBorders>
              <w:top w:val="single" w:color="auto" w:sz="4" w:space="0"/>
              <w:left w:val="single" w:color="auto" w:sz="4" w:space="0"/>
              <w:bottom w:val="single" w:color="auto" w:sz="4" w:space="0"/>
              <w:right w:val="single" w:color="auto" w:sz="4" w:space="0"/>
            </w:tcBorders>
            <w:vAlign w:val="center"/>
          </w:tcPr>
          <w:p w14:paraId="7BA87D37">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eastAsia="zh-CN"/>
              </w:rPr>
              <w:t>当前产业整体体量偏小、产业链条偏短、高附加值产品占比偏低，高海拔加工运维成本偏高、冷链物流配套滞后、专业人才短缺，品牌能级不高。后续需严守生态配额捕捞制度，健全盐湖资源动态监测体系，升级精深加工装备与智能分选技术，补齐冷链物流短板，延伸高端水产育苗、宠物饲料、功能原料等产业链条，打造</w:t>
            </w:r>
            <w:r>
              <w:rPr>
                <w:rFonts w:hint="eastAsia" w:ascii="Times New Roman" w:hAnsi="Times New Roman" w:eastAsia="方正仿宋简体" w:cs="方正仿宋简体"/>
                <w:bCs/>
                <w:sz w:val="21"/>
                <w:szCs w:val="21"/>
                <w:lang w:eastAsia="zh-CN"/>
              </w:rPr>
              <w:t>“</w:t>
            </w:r>
            <w:r>
              <w:rPr>
                <w:rFonts w:ascii="Times New Roman" w:hAnsi="Times New Roman" w:eastAsia="方正仿宋简体" w:cs="方正仿宋简体"/>
                <w:bCs/>
                <w:sz w:val="21"/>
                <w:szCs w:val="21"/>
                <w:lang w:eastAsia="zh-CN"/>
              </w:rPr>
              <w:t>极地海金沙</w:t>
            </w:r>
            <w:r>
              <w:rPr>
                <w:rFonts w:hint="eastAsia" w:ascii="Times New Roman" w:hAnsi="Times New Roman" w:eastAsia="方正仿宋简体" w:cs="方正仿宋简体"/>
                <w:bCs/>
                <w:sz w:val="21"/>
                <w:szCs w:val="21"/>
                <w:lang w:eastAsia="zh-CN"/>
              </w:rPr>
              <w:t>”</w:t>
            </w:r>
            <w:r>
              <w:rPr>
                <w:rFonts w:ascii="Times New Roman" w:hAnsi="Times New Roman" w:eastAsia="方正仿宋简体" w:cs="方正仿宋简体"/>
                <w:bCs/>
                <w:sz w:val="21"/>
                <w:szCs w:val="21"/>
                <w:lang w:eastAsia="zh-CN"/>
              </w:rPr>
              <w:t>区域公共品牌，探索盐湖生态观光、卤虫科普研学等文旅融合新业态。</w:t>
            </w:r>
          </w:p>
        </w:tc>
      </w:tr>
      <w:bookmarkEnd w:id="487"/>
      <w:tr w14:paraId="4C3D7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6" w:hRule="atLeast"/>
        </w:trPr>
        <w:tc>
          <w:tcPr>
            <w:tcW w:w="1701" w:type="dxa"/>
            <w:tcBorders>
              <w:top w:val="single" w:color="auto" w:sz="4" w:space="0"/>
              <w:left w:val="single" w:color="auto" w:sz="4" w:space="0"/>
              <w:bottom w:val="single" w:color="auto" w:sz="4" w:space="0"/>
              <w:right w:val="single" w:color="auto" w:sz="4" w:space="0"/>
            </w:tcBorders>
            <w:vAlign w:val="center"/>
          </w:tcPr>
          <w:p w14:paraId="568B839E">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低空经济</w:t>
            </w:r>
          </w:p>
        </w:tc>
        <w:tc>
          <w:tcPr>
            <w:tcW w:w="1276" w:type="dxa"/>
            <w:tcBorders>
              <w:top w:val="single" w:color="auto" w:sz="4" w:space="0"/>
              <w:left w:val="single" w:color="auto" w:sz="4" w:space="0"/>
              <w:bottom w:val="single" w:color="auto" w:sz="4" w:space="0"/>
              <w:right w:val="single" w:color="auto" w:sz="4" w:space="0"/>
            </w:tcBorders>
            <w:vAlign w:val="center"/>
          </w:tcPr>
          <w:p w14:paraId="41451AB7">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eastAsia="zh-CN"/>
              </w:rPr>
              <w:t>依托高原独特应用场景与天然测试条件，打造藏北高原低空经济应用示范中心，培育服务边疆治理与产业融合的新兴战略产业。</w:t>
            </w:r>
          </w:p>
        </w:tc>
        <w:tc>
          <w:tcPr>
            <w:tcW w:w="3118" w:type="dxa"/>
            <w:tcBorders>
              <w:top w:val="single" w:color="auto" w:sz="4" w:space="0"/>
              <w:left w:val="single" w:color="auto" w:sz="4" w:space="0"/>
              <w:bottom w:val="single" w:color="auto" w:sz="4" w:space="0"/>
              <w:right w:val="single" w:color="auto" w:sz="4" w:space="0"/>
            </w:tcBorders>
            <w:vAlign w:val="center"/>
          </w:tcPr>
          <w:p w14:paraId="131EC1EA">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战略刚需无可替代，市域地广人稀、地面路网建设运维成本高昂，低空通航可补齐偏远牧点通达短板，在生态巡护、边境管控、草原防火、雪灾应急救援等场景形成常态化保障；</w:t>
            </w:r>
          </w:p>
          <w:p w14:paraId="1E01E2E9">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政策顶层支撑有力，自治区出台《通用航空发展规划（2021-2035年）》构建</w:t>
            </w:r>
            <w:r>
              <w:rPr>
                <w:rFonts w:hint="eastAsia" w:ascii="Times New Roman" w:hAnsi="Times New Roman" w:eastAsia="方正仿宋简体" w:cs="方正仿宋简体"/>
                <w:bCs/>
                <w:sz w:val="21"/>
                <w:szCs w:val="21"/>
                <w:lang w:val="en-US" w:eastAsia="zh-CN"/>
              </w:rPr>
              <w:t>“</w:t>
            </w:r>
            <w:r>
              <w:rPr>
                <w:rFonts w:ascii="Times New Roman" w:hAnsi="Times New Roman" w:eastAsia="方正仿宋简体" w:cs="方正仿宋简体"/>
                <w:bCs/>
                <w:sz w:val="21"/>
                <w:szCs w:val="21"/>
                <w:lang w:val="en-US" w:eastAsia="zh-CN"/>
              </w:rPr>
              <w:t>1+N</w:t>
            </w:r>
            <w:r>
              <w:rPr>
                <w:rFonts w:hint="eastAsia" w:ascii="Times New Roman" w:hAnsi="Times New Roman" w:eastAsia="方正仿宋简体" w:cs="方正仿宋简体"/>
                <w:bCs/>
                <w:sz w:val="21"/>
                <w:szCs w:val="21"/>
                <w:lang w:val="en-US" w:eastAsia="zh-CN"/>
              </w:rPr>
              <w:t>”</w:t>
            </w:r>
            <w:r>
              <w:rPr>
                <w:rFonts w:ascii="Times New Roman" w:hAnsi="Times New Roman" w:eastAsia="方正仿宋简体" w:cs="方正仿宋简体"/>
                <w:bCs/>
                <w:sz w:val="21"/>
                <w:szCs w:val="21"/>
                <w:lang w:val="en-US" w:eastAsia="zh-CN"/>
              </w:rPr>
              <w:t>通航政策体系，设立专项航线奖励，为试点示范、场景规模化落地提供制度保障；</w:t>
            </w:r>
          </w:p>
          <w:p w14:paraId="496AC143">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创新条件得天独厚，高原低温低压大风环境是国内稀缺的航空器高原性能天然测试基地，联动科研院所攻关高原电动航空器、低温储能等核心技术，推动装备适配、运维标准、场景应用全链条创新。</w:t>
            </w:r>
          </w:p>
        </w:tc>
        <w:tc>
          <w:tcPr>
            <w:tcW w:w="2807" w:type="dxa"/>
            <w:tcBorders>
              <w:top w:val="single" w:color="auto" w:sz="4" w:space="0"/>
              <w:left w:val="single" w:color="auto" w:sz="4" w:space="0"/>
              <w:bottom w:val="single" w:color="auto" w:sz="4" w:space="0"/>
              <w:right w:val="single" w:color="auto" w:sz="4" w:space="0"/>
            </w:tcBorders>
            <w:vAlign w:val="center"/>
          </w:tcPr>
          <w:p w14:paraId="1F84FF28">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eastAsia="zh-CN"/>
              </w:rPr>
              <w:t>当前产业处于试点起步、场景示范、基建铺垫阶段，经济体量、市场主体规模、全产业链配套尚未成型，高海拔运维成本较高、低空配套基建不足、专业技术人才短缺。后续需坚持精品化、特需型定位，科学布局通用机场、分布式起降点，搭建高原低空智能管控平台，攻关高海拔适配航空器技术、探索构建高原机型地方技术标准，深化</w:t>
            </w:r>
            <w:r>
              <w:rPr>
                <w:rFonts w:hint="eastAsia" w:ascii="Times New Roman" w:hAnsi="Times New Roman" w:eastAsia="方正仿宋简体" w:cs="方正仿宋简体"/>
                <w:bCs/>
                <w:sz w:val="21"/>
                <w:szCs w:val="21"/>
                <w:lang w:eastAsia="zh-CN"/>
              </w:rPr>
              <w:t>“</w:t>
            </w:r>
            <w:r>
              <w:rPr>
                <w:rFonts w:ascii="Times New Roman" w:hAnsi="Times New Roman" w:eastAsia="方正仿宋简体" w:cs="方正仿宋简体"/>
                <w:bCs/>
                <w:sz w:val="21"/>
                <w:szCs w:val="21"/>
                <w:lang w:eastAsia="zh-CN"/>
              </w:rPr>
              <w:t>低空+畜牧</w:t>
            </w:r>
            <w:r>
              <w:rPr>
                <w:rFonts w:hint="eastAsia" w:ascii="Times New Roman" w:hAnsi="Times New Roman" w:eastAsia="方正仿宋简体" w:cs="方正仿宋简体"/>
                <w:bCs/>
                <w:sz w:val="21"/>
                <w:szCs w:val="21"/>
                <w:lang w:eastAsia="zh-CN"/>
              </w:rPr>
              <w:t>”</w:t>
            </w:r>
            <w:r>
              <w:rPr>
                <w:rFonts w:ascii="Times New Roman" w:hAnsi="Times New Roman" w:eastAsia="方正仿宋简体" w:cs="方正仿宋简体"/>
                <w:bCs/>
                <w:sz w:val="21"/>
                <w:szCs w:val="21"/>
                <w:lang w:eastAsia="zh-CN"/>
              </w:rPr>
              <w:t>、文旅、饮用水、交通物流融合业态，推广</w:t>
            </w:r>
            <w:r>
              <w:rPr>
                <w:rFonts w:hint="eastAsia" w:ascii="Times New Roman" w:hAnsi="Times New Roman" w:eastAsia="方正仿宋简体" w:cs="方正仿宋简体"/>
                <w:bCs/>
                <w:sz w:val="21"/>
                <w:szCs w:val="21"/>
                <w:lang w:eastAsia="zh-CN"/>
              </w:rPr>
              <w:t>“</w:t>
            </w:r>
            <w:r>
              <w:rPr>
                <w:rFonts w:ascii="Times New Roman" w:hAnsi="Times New Roman" w:eastAsia="方正仿宋简体" w:cs="方正仿宋简体"/>
                <w:bCs/>
                <w:sz w:val="21"/>
                <w:szCs w:val="21"/>
                <w:lang w:eastAsia="zh-CN"/>
              </w:rPr>
              <w:t>公司+合作社+牧户</w:t>
            </w:r>
            <w:r>
              <w:rPr>
                <w:rFonts w:hint="eastAsia" w:ascii="Times New Roman" w:hAnsi="Times New Roman" w:eastAsia="方正仿宋简体" w:cs="方正仿宋简体"/>
                <w:bCs/>
                <w:sz w:val="21"/>
                <w:szCs w:val="21"/>
                <w:lang w:eastAsia="zh-CN"/>
              </w:rPr>
              <w:t>”</w:t>
            </w:r>
            <w:r>
              <w:rPr>
                <w:rFonts w:ascii="Times New Roman" w:hAnsi="Times New Roman" w:eastAsia="方正仿宋简体" w:cs="方正仿宋简体"/>
                <w:bCs/>
                <w:sz w:val="21"/>
                <w:szCs w:val="21"/>
                <w:lang w:eastAsia="zh-CN"/>
              </w:rPr>
              <w:t>运营模式，培育本土低空技能人才，实现生态保护、产业发展、民生改善协同。</w:t>
            </w:r>
          </w:p>
        </w:tc>
      </w:tr>
      <w:tr w14:paraId="6981E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6" w:hRule="atLeast"/>
        </w:trPr>
        <w:tc>
          <w:tcPr>
            <w:tcW w:w="1701" w:type="dxa"/>
            <w:tcBorders>
              <w:top w:val="single" w:color="auto" w:sz="4" w:space="0"/>
              <w:left w:val="single" w:color="auto" w:sz="4" w:space="0"/>
              <w:bottom w:val="single" w:color="auto" w:sz="4" w:space="0"/>
              <w:right w:val="single" w:color="auto" w:sz="4" w:space="0"/>
            </w:tcBorders>
            <w:vAlign w:val="center"/>
          </w:tcPr>
          <w:p w14:paraId="6D0644F1">
            <w:pPr>
              <w:widowControl/>
              <w:spacing w:line="270" w:lineRule="exact"/>
              <w:jc w:val="both"/>
              <w:rPr>
                <w:rFonts w:ascii="Times New Roman" w:hAnsi="Times New Roman" w:eastAsia="方正仿宋简体" w:cs="方正仿宋简体"/>
                <w:bCs/>
                <w:sz w:val="21"/>
                <w:szCs w:val="21"/>
                <w:lang w:eastAsia="zh-CN"/>
              </w:rPr>
            </w:pPr>
            <w:r>
              <w:rPr>
                <w:rFonts w:hint="eastAsia" w:ascii="Times New Roman" w:hAnsi="Times New Roman" w:eastAsia="方正仿宋简体" w:cs="方正仿宋简体"/>
                <w:bCs/>
                <w:sz w:val="21"/>
                <w:szCs w:val="21"/>
                <w:lang w:eastAsia="zh-CN"/>
              </w:rPr>
              <w:t>算力经济</w:t>
            </w:r>
          </w:p>
        </w:tc>
        <w:tc>
          <w:tcPr>
            <w:tcW w:w="1276" w:type="dxa"/>
            <w:tcBorders>
              <w:top w:val="single" w:color="auto" w:sz="4" w:space="0"/>
              <w:left w:val="single" w:color="auto" w:sz="4" w:space="0"/>
              <w:bottom w:val="single" w:color="auto" w:sz="4" w:space="0"/>
              <w:right w:val="single" w:color="auto" w:sz="4" w:space="0"/>
            </w:tcBorders>
            <w:vAlign w:val="center"/>
          </w:tcPr>
          <w:p w14:paraId="248FBC07">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eastAsia="zh-CN"/>
              </w:rPr>
              <w:t>依托高原天然冷源与清洁能源禀赋，打造西藏</w:t>
            </w:r>
            <w:r>
              <w:rPr>
                <w:rFonts w:hint="eastAsia" w:ascii="Times New Roman" w:hAnsi="Times New Roman" w:eastAsia="方正仿宋简体" w:cs="方正仿宋简体"/>
                <w:bCs/>
                <w:sz w:val="21"/>
                <w:szCs w:val="21"/>
                <w:lang w:eastAsia="zh-CN"/>
              </w:rPr>
              <w:t>“</w:t>
            </w:r>
            <w:r>
              <w:rPr>
                <w:rFonts w:ascii="Times New Roman" w:hAnsi="Times New Roman" w:eastAsia="方正仿宋简体" w:cs="方正仿宋简体"/>
                <w:bCs/>
                <w:sz w:val="21"/>
                <w:szCs w:val="21"/>
                <w:lang w:eastAsia="zh-CN"/>
              </w:rPr>
              <w:t>算力珠峰</w:t>
            </w:r>
            <w:r>
              <w:rPr>
                <w:rFonts w:hint="eastAsia" w:ascii="Times New Roman" w:hAnsi="Times New Roman" w:eastAsia="方正仿宋简体" w:cs="方正仿宋简体"/>
                <w:bCs/>
                <w:sz w:val="21"/>
                <w:szCs w:val="21"/>
                <w:lang w:eastAsia="zh-CN"/>
              </w:rPr>
              <w:t>”</w:t>
            </w:r>
            <w:r>
              <w:rPr>
                <w:rFonts w:ascii="Times New Roman" w:hAnsi="Times New Roman" w:eastAsia="方正仿宋简体" w:cs="方正仿宋简体"/>
                <w:bCs/>
                <w:sz w:val="21"/>
                <w:szCs w:val="21"/>
                <w:lang w:eastAsia="zh-CN"/>
              </w:rPr>
              <w:t>特色边缘算力节点，培育数字经济全新增长动能。</w:t>
            </w:r>
          </w:p>
        </w:tc>
        <w:tc>
          <w:tcPr>
            <w:tcW w:w="3118" w:type="dxa"/>
            <w:tcBorders>
              <w:top w:val="single" w:color="auto" w:sz="4" w:space="0"/>
              <w:left w:val="single" w:color="auto" w:sz="4" w:space="0"/>
              <w:bottom w:val="single" w:color="auto" w:sz="4" w:space="0"/>
              <w:right w:val="single" w:color="auto" w:sz="4" w:space="0"/>
            </w:tcBorders>
            <w:vAlign w:val="center"/>
          </w:tcPr>
          <w:p w14:paraId="392D105E">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资源优势突出，高原低温低湿天然冷源条件得天独厚，清洁能源建成装机114.68万千瓦、供给稳定充足，数据中心电源使用效率（PUE）可降至1.1以下、综合能耗成本较内地降低30%以上，叠加大数据专项电价优惠，形成极具竞争力的算力成本洼地；</w:t>
            </w:r>
          </w:p>
          <w:p w14:paraId="10D9A5FE">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政策与规划赋能，产业纳入国家</w:t>
            </w:r>
            <w:r>
              <w:rPr>
                <w:rFonts w:hint="eastAsia" w:ascii="Times New Roman" w:hAnsi="Times New Roman" w:eastAsia="方正仿宋简体" w:cs="方正仿宋简体"/>
                <w:bCs/>
                <w:sz w:val="21"/>
                <w:szCs w:val="21"/>
                <w:lang w:val="en-US" w:eastAsia="zh-CN"/>
              </w:rPr>
              <w:t>“</w:t>
            </w:r>
            <w:r>
              <w:rPr>
                <w:rFonts w:ascii="Times New Roman" w:hAnsi="Times New Roman" w:eastAsia="方正仿宋简体" w:cs="方正仿宋简体"/>
                <w:bCs/>
                <w:sz w:val="21"/>
                <w:szCs w:val="21"/>
                <w:lang w:val="en-US" w:eastAsia="zh-CN"/>
              </w:rPr>
              <w:t>十五五</w:t>
            </w:r>
            <w:r>
              <w:rPr>
                <w:rFonts w:hint="eastAsia" w:ascii="Times New Roman" w:hAnsi="Times New Roman" w:eastAsia="方正仿宋简体" w:cs="方正仿宋简体"/>
                <w:bCs/>
                <w:sz w:val="21"/>
                <w:szCs w:val="21"/>
                <w:lang w:val="en-US" w:eastAsia="zh-CN"/>
              </w:rPr>
              <w:t>”</w:t>
            </w:r>
            <w:r>
              <w:rPr>
                <w:rFonts w:ascii="Times New Roman" w:hAnsi="Times New Roman" w:eastAsia="方正仿宋简体" w:cs="方正仿宋简体"/>
                <w:bCs/>
                <w:sz w:val="21"/>
                <w:szCs w:val="21"/>
                <w:lang w:val="en-US" w:eastAsia="zh-CN"/>
              </w:rPr>
              <w:t>数字经济、</w:t>
            </w:r>
            <w:r>
              <w:rPr>
                <w:rFonts w:hint="eastAsia" w:ascii="Times New Roman" w:hAnsi="Times New Roman" w:eastAsia="方正仿宋简体" w:cs="方正仿宋简体"/>
                <w:bCs/>
                <w:sz w:val="21"/>
                <w:szCs w:val="21"/>
                <w:lang w:val="en-US" w:eastAsia="zh-CN"/>
              </w:rPr>
              <w:t>“</w:t>
            </w:r>
            <w:r>
              <w:rPr>
                <w:rFonts w:ascii="Times New Roman" w:hAnsi="Times New Roman" w:eastAsia="方正仿宋简体" w:cs="方正仿宋简体"/>
                <w:bCs/>
                <w:sz w:val="21"/>
                <w:szCs w:val="21"/>
                <w:lang w:val="en-US" w:eastAsia="zh-CN"/>
              </w:rPr>
              <w:t>东数西算</w:t>
            </w:r>
            <w:r>
              <w:rPr>
                <w:rFonts w:hint="eastAsia" w:ascii="Times New Roman" w:hAnsi="Times New Roman" w:eastAsia="方正仿宋简体" w:cs="方正仿宋简体"/>
                <w:bCs/>
                <w:sz w:val="21"/>
                <w:szCs w:val="21"/>
                <w:lang w:val="en-US" w:eastAsia="zh-CN"/>
              </w:rPr>
              <w:t>”</w:t>
            </w:r>
            <w:r>
              <w:rPr>
                <w:rFonts w:ascii="Times New Roman" w:hAnsi="Times New Roman" w:eastAsia="方正仿宋简体" w:cs="方正仿宋简体"/>
                <w:bCs/>
                <w:sz w:val="21"/>
                <w:szCs w:val="21"/>
                <w:lang w:val="en-US" w:eastAsia="zh-CN"/>
              </w:rPr>
              <w:t>顶层规划，自治区明确将那曲定位为按需布局的边缘特色算力节点，配套算力专项扶持资金，对算力项目投资给予10%—15%建设补贴；</w:t>
            </w:r>
          </w:p>
          <w:p w14:paraId="08C1AB76">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val="en-US" w:eastAsia="zh-CN"/>
              </w:rPr>
              <w:t>数字底座持续夯实，2025年全市通信光缆总长19.87万公里、固定互联网宽带接入用户13.12万户，实现11个县（区）及114个乡镇驻地5G网络覆盖，为分布式边缘算力节点稳定运行提供支撑。</w:t>
            </w:r>
          </w:p>
        </w:tc>
        <w:tc>
          <w:tcPr>
            <w:tcW w:w="2807" w:type="dxa"/>
            <w:tcBorders>
              <w:top w:val="single" w:color="auto" w:sz="4" w:space="0"/>
              <w:left w:val="single" w:color="auto" w:sz="4" w:space="0"/>
              <w:bottom w:val="single" w:color="auto" w:sz="4" w:space="0"/>
              <w:right w:val="single" w:color="auto" w:sz="4" w:space="0"/>
            </w:tcBorders>
            <w:vAlign w:val="center"/>
          </w:tcPr>
          <w:p w14:paraId="08DB8B76">
            <w:pPr>
              <w:widowControl/>
              <w:spacing w:line="270" w:lineRule="exact"/>
              <w:jc w:val="both"/>
              <w:rPr>
                <w:rFonts w:ascii="Times New Roman" w:hAnsi="Times New Roman" w:eastAsia="方正仿宋简体" w:cs="方正仿宋简体"/>
                <w:bCs/>
                <w:sz w:val="21"/>
                <w:szCs w:val="21"/>
                <w:lang w:val="en-US" w:eastAsia="zh-CN"/>
              </w:rPr>
            </w:pPr>
            <w:r>
              <w:rPr>
                <w:rFonts w:ascii="Times New Roman" w:hAnsi="Times New Roman" w:eastAsia="方正仿宋简体" w:cs="方正仿宋简体"/>
                <w:bCs/>
                <w:sz w:val="21"/>
                <w:szCs w:val="21"/>
                <w:lang w:eastAsia="zh-CN"/>
              </w:rPr>
              <w:t>当前产业处于节点布局、场景试点、生态培育起步阶段，算力产业规模、市场经营主体、完整产业链配套尚未成型，本土数字专业人才短缺、跨区域直连带宽资源不足、本地规模化算力市场需求培育周期较长。后续需坚持差异化、特色化节点定位，完善跨区域算力传输通道，攻关高原机房散热、低温防护、电气抗高海拔衰减等关键技术，健全</w:t>
            </w:r>
            <w:r>
              <w:rPr>
                <w:rFonts w:hint="eastAsia" w:ascii="Times New Roman" w:hAnsi="Times New Roman" w:eastAsia="方正仿宋简体" w:cs="方正仿宋简体"/>
                <w:bCs/>
                <w:sz w:val="21"/>
                <w:szCs w:val="21"/>
                <w:lang w:eastAsia="zh-CN"/>
              </w:rPr>
              <w:t>“</w:t>
            </w:r>
            <w:r>
              <w:rPr>
                <w:rFonts w:ascii="Times New Roman" w:hAnsi="Times New Roman" w:eastAsia="方正仿宋简体" w:cs="方正仿宋简体"/>
                <w:bCs/>
                <w:sz w:val="21"/>
                <w:szCs w:val="21"/>
                <w:lang w:eastAsia="zh-CN"/>
              </w:rPr>
              <w:t>绿电+算力</w:t>
            </w:r>
            <w:r>
              <w:rPr>
                <w:rFonts w:hint="eastAsia" w:ascii="Times New Roman" w:hAnsi="Times New Roman" w:eastAsia="方正仿宋简体" w:cs="方正仿宋简体"/>
                <w:bCs/>
                <w:sz w:val="21"/>
                <w:szCs w:val="21"/>
                <w:lang w:eastAsia="zh-CN"/>
              </w:rPr>
              <w:t>”</w:t>
            </w:r>
            <w:r>
              <w:rPr>
                <w:rFonts w:ascii="Times New Roman" w:hAnsi="Times New Roman" w:eastAsia="方正仿宋简体" w:cs="方正仿宋简体"/>
                <w:bCs/>
                <w:sz w:val="21"/>
                <w:szCs w:val="21"/>
                <w:lang w:eastAsia="zh-CN"/>
              </w:rPr>
              <w:t>协同调度机制，深化</w:t>
            </w:r>
            <w:r>
              <w:rPr>
                <w:rFonts w:hint="eastAsia" w:ascii="Times New Roman" w:hAnsi="Times New Roman" w:eastAsia="方正仿宋简体" w:cs="方正仿宋简体"/>
                <w:bCs/>
                <w:sz w:val="21"/>
                <w:szCs w:val="21"/>
                <w:lang w:eastAsia="zh-CN"/>
              </w:rPr>
              <w:t>“</w:t>
            </w:r>
            <w:r>
              <w:rPr>
                <w:rFonts w:ascii="Times New Roman" w:hAnsi="Times New Roman" w:eastAsia="方正仿宋简体" w:cs="方正仿宋简体"/>
                <w:bCs/>
                <w:sz w:val="21"/>
                <w:szCs w:val="21"/>
                <w:lang w:eastAsia="zh-CN"/>
              </w:rPr>
              <w:t>算力+N</w:t>
            </w:r>
            <w:r>
              <w:rPr>
                <w:rFonts w:hint="eastAsia" w:ascii="Times New Roman" w:hAnsi="Times New Roman" w:eastAsia="方正仿宋简体" w:cs="方正仿宋简体"/>
                <w:bCs/>
                <w:sz w:val="21"/>
                <w:szCs w:val="21"/>
                <w:lang w:eastAsia="zh-CN"/>
              </w:rPr>
              <w:t>”</w:t>
            </w:r>
            <w:r>
              <w:rPr>
                <w:rFonts w:ascii="Times New Roman" w:hAnsi="Times New Roman" w:eastAsia="方正仿宋简体" w:cs="方正仿宋简体"/>
                <w:bCs/>
                <w:sz w:val="21"/>
                <w:szCs w:val="21"/>
                <w:lang w:eastAsia="zh-CN"/>
              </w:rPr>
              <w:t>数实融合，依托援藏机制引进数字市场主体、培育本土数字人才，构建藏北高原特色边缘算力示范节点。</w:t>
            </w:r>
          </w:p>
        </w:tc>
      </w:tr>
    </w:tbl>
    <w:p w14:paraId="3874EA35">
      <w:pPr>
        <w:spacing w:line="576" w:lineRule="exact"/>
        <w:ind w:firstLine="640" w:firstLineChars="200"/>
        <w:jc w:val="both"/>
        <w:rPr>
          <w:rFonts w:ascii="Times New Roman" w:hAnsi="Times New Roman" w:eastAsia="方正仿宋简体" w:cs="方正仿宋简体"/>
          <w:bCs/>
          <w:sz w:val="32"/>
          <w:szCs w:val="28"/>
          <w:lang w:val="en-US" w:eastAsia="zh-CN"/>
        </w:rPr>
      </w:pPr>
      <w:r>
        <w:rPr>
          <w:rFonts w:ascii="Times New Roman" w:hAnsi="Times New Roman" w:eastAsia="方正仿宋简体" w:cs="方正仿宋简体"/>
          <w:bCs/>
          <w:sz w:val="32"/>
          <w:szCs w:val="28"/>
          <w:lang w:val="en-US" w:eastAsia="zh-CN"/>
        </w:rPr>
        <w:t>除各产业自身发展动能外，那曲特色产业发展还依托三大核心支撑力量，形成全方位、多层次的发展保障体系，为产业长期稳定提质升级提供可靠支撑。一是基础设施迭代升级。G6高速、县乡村全覆盖通信网络、全域电网体系、梅帕塘水库等重大基础设施持续落地投用，畅通产业发展交通、能源、水利、信息四大动脉。二是区域协作与援藏赋能。浙江、辽宁等对口援藏省市持续输入资金、项目、先进理念与市场资源，在产品加工、项目建设、招商引资、业态创新等领域深度合作，为产业转型升级注入优质外部活力。三是绿色发展理念引领。始终坚守生态保护优先底线，全面推广牧光互补、人畜分离、循环经济等绿色发展模式，稳步推动生态资源优势转化为产业发展优势，保障特色产业可持续高质量发展。</w:t>
      </w:r>
    </w:p>
    <w:bookmarkEnd w:id="480"/>
    <w:p w14:paraId="7849CDB0">
      <w:pPr>
        <w:pStyle w:val="8"/>
        <w:overflowPunct w:val="0"/>
        <w:topLinePunct/>
        <w:autoSpaceDE/>
        <w:autoSpaceDN/>
        <w:spacing w:before="0" w:line="576" w:lineRule="exact"/>
        <w:ind w:left="0" w:firstLine="640" w:firstLineChars="200"/>
        <w:jc w:val="both"/>
        <w:outlineLvl w:val="1"/>
        <w:rPr>
          <w:rFonts w:ascii="Times New Roman" w:hAnsi="Times New Roman" w:eastAsia="方正楷体简体" w:cs="方正楷体简体"/>
          <w:sz w:val="32"/>
          <w:szCs w:val="32"/>
        </w:rPr>
      </w:pPr>
      <w:bookmarkStart w:id="488" w:name="_Toc234069580"/>
      <w:bookmarkStart w:id="489" w:name="_Toc243241577"/>
      <w:bookmarkStart w:id="490" w:name="OLE_LINK38"/>
      <w:bookmarkStart w:id="491" w:name="OLE_LINK251"/>
      <w:r>
        <w:rPr>
          <w:rFonts w:hint="eastAsia" w:ascii="Times New Roman" w:hAnsi="Times New Roman" w:eastAsia="方正楷体简体" w:cs="方正楷体简体"/>
          <w:sz w:val="32"/>
          <w:szCs w:val="32"/>
        </w:rPr>
        <w:t>（二）特色产业未来发展方向</w:t>
      </w:r>
      <w:bookmarkEnd w:id="488"/>
      <w:bookmarkEnd w:id="489"/>
    </w:p>
    <w:p w14:paraId="4264E25B">
      <w:pPr>
        <w:spacing w:line="576" w:lineRule="exact"/>
        <w:ind w:firstLine="640" w:firstLineChars="200"/>
        <w:jc w:val="both"/>
        <w:outlineLvl w:val="2"/>
        <w:rPr>
          <w:rFonts w:hint="eastAsia" w:ascii="Times New Roman" w:hAnsi="Times New Roman" w:eastAsia="方正仿宋简体" w:cs="方正仿宋简体"/>
          <w:bCs/>
          <w:sz w:val="32"/>
          <w:szCs w:val="32"/>
          <w:lang w:val="en-US" w:eastAsia="zh-CN"/>
        </w:rPr>
      </w:pPr>
      <w:bookmarkStart w:id="492" w:name="_Toc243241578"/>
      <w:bookmarkStart w:id="493" w:name="OLE_LINK141"/>
      <w:r>
        <w:rPr>
          <w:rFonts w:hint="eastAsia" w:ascii="Times New Roman" w:hAnsi="Times New Roman" w:eastAsia="方正仿宋简体" w:cs="方正仿宋简体"/>
          <w:bCs/>
          <w:sz w:val="32"/>
          <w:szCs w:val="32"/>
          <w:lang w:val="en-US" w:eastAsia="zh-CN"/>
        </w:rPr>
        <w:t>1．高原特色畜牧业</w:t>
      </w:r>
      <w:bookmarkEnd w:id="492"/>
    </w:p>
    <w:bookmarkEnd w:id="490"/>
    <w:bookmarkEnd w:id="493"/>
    <w:p w14:paraId="7E7DDC57">
      <w:pPr>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那曲市高原特色畜牧业立足独特生态禀赋与扎实产业基础，紧扣畜牧业</w:t>
      </w:r>
      <w:bookmarkStart w:id="494" w:name="OLE_LINK25"/>
      <w:r>
        <w:rPr>
          <w:rFonts w:hint="eastAsia" w:ascii="Times New Roman" w:hAnsi="Times New Roman" w:eastAsia="方正仿宋简体" w:cs="方正仿宋简体"/>
          <w:bCs/>
          <w:sz w:val="32"/>
          <w:szCs w:val="28"/>
          <w:lang w:val="en-US" w:eastAsia="zh-CN"/>
        </w:rPr>
        <w:t>“优草、优畜、优品、优链”</w:t>
      </w:r>
      <w:bookmarkEnd w:id="494"/>
      <w:r>
        <w:rPr>
          <w:rFonts w:hint="eastAsia" w:ascii="Times New Roman" w:hAnsi="Times New Roman" w:eastAsia="方正仿宋简体" w:cs="方正仿宋简体"/>
          <w:bCs/>
          <w:sz w:val="32"/>
          <w:szCs w:val="28"/>
          <w:lang w:val="en-US" w:eastAsia="zh-CN"/>
        </w:rPr>
        <w:t>思路，未来将聚焦提质、增效、塑牌、赋能四大方向，持续推进产业现代化、生态化、品牌化转型升级，构建生态友好、品质优良、品牌突出、带农增收的现代畜牧产业体系。</w:t>
      </w:r>
    </w:p>
    <w:p w14:paraId="3D7AEEB1">
      <w:pPr>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1）深化产业提质升级。以创建“中国原生态牦牛之乡”为核心目标，锚定优畜、优品要求，实施牦牛保纯提质工程，建设高标准牦牛种质资源保护区，推进牦牛肉、奶产品区域品牌保护规范化、制度化，培育壮大本土特色畜牧品牌，提升产品市场辨识度与附加值。</w:t>
      </w:r>
    </w:p>
    <w:p w14:paraId="3023C429">
      <w:pPr>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2）稳固生态养殖体系。严格落实草畜平衡制度，紧扣优草任务，科学推进人工饲草基地建设，提升饲草保供能力，全面推广“自然放养+适度补饲”的生态养殖模式，夯实饲草保障基础，实现畜牧业发展与高原生态保护良性循环。</w:t>
      </w:r>
    </w:p>
    <w:p w14:paraId="672913C9">
      <w:pPr>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3）壮大新型经营主体。围绕优链部署，重点培育市级畜牧龙头企业，提档升级农牧民专业合作社、家庭牧场，推广“联牧联营”规模化经营模式，提升产业组织化、集约化水平。稳定那曲全域牲畜存栏规模，保持肉、奶年产量稳定在10万吨以上，持续提升农畜产品精深加工产值，打通生产、加工、品牌、销售全链条，推动产业由规模扩张向质量效益提升转变。</w:t>
      </w:r>
    </w:p>
    <w:p w14:paraId="750B3F8F">
      <w:pPr>
        <w:spacing w:line="576" w:lineRule="exact"/>
        <w:ind w:firstLine="640" w:firstLineChars="200"/>
        <w:jc w:val="both"/>
        <w:outlineLvl w:val="2"/>
        <w:rPr>
          <w:rFonts w:hint="eastAsia" w:ascii="Times New Roman" w:hAnsi="Times New Roman" w:eastAsia="方正仿宋简体" w:cs="方正仿宋简体"/>
          <w:bCs/>
          <w:sz w:val="32"/>
          <w:szCs w:val="28"/>
          <w:lang w:eastAsia="zh-CN"/>
        </w:rPr>
      </w:pPr>
      <w:bookmarkStart w:id="495" w:name="_Toc243241579"/>
      <w:r>
        <w:rPr>
          <w:rFonts w:hint="eastAsia" w:ascii="Times New Roman" w:hAnsi="Times New Roman" w:eastAsia="方正仿宋简体" w:cs="方正仿宋简体"/>
          <w:bCs/>
          <w:sz w:val="32"/>
          <w:szCs w:val="28"/>
          <w:lang w:eastAsia="zh-CN"/>
        </w:rPr>
        <w:t>2</w:t>
      </w:r>
      <w:r>
        <w:rPr>
          <w:rFonts w:hint="eastAsia" w:ascii="Times New Roman" w:hAnsi="Times New Roman" w:eastAsia="方正仿宋简体" w:cs="方正仿宋简体"/>
          <w:bCs/>
          <w:sz w:val="32"/>
          <w:szCs w:val="28"/>
          <w:lang w:val="en-US" w:eastAsia="zh-CN"/>
        </w:rPr>
        <w:t>．</w:t>
      </w:r>
      <w:r>
        <w:rPr>
          <w:rFonts w:hint="eastAsia" w:ascii="Times New Roman" w:hAnsi="Times New Roman" w:eastAsia="方正仿宋简体" w:cs="方正仿宋简体"/>
          <w:bCs/>
          <w:sz w:val="32"/>
          <w:szCs w:val="28"/>
          <w:lang w:eastAsia="zh-CN"/>
        </w:rPr>
        <w:t>藏医药产业</w:t>
      </w:r>
      <w:bookmarkEnd w:id="495"/>
    </w:p>
    <w:p w14:paraId="4B925592">
      <w:pPr>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那曲市藏医药产业立足传统传承、现代赋能、产业融合发展思路，精准平衡保护与开发、传统与现代、特色与标准的发展关系，未来将围绕生产现代化、产业协同化、人才专业化、业态融合化四大方向，</w:t>
      </w:r>
      <w:r>
        <w:rPr>
          <w:rFonts w:hint="eastAsia" w:ascii="Times New Roman" w:hAnsi="Times New Roman" w:eastAsia="方正仿宋简体" w:cs="方正仿宋简体"/>
          <w:bCs/>
          <w:sz w:val="32"/>
          <w:szCs w:val="28"/>
          <w:lang w:eastAsia="zh-CN"/>
        </w:rPr>
        <w:t>提升藏药材加工转化率，加强高原特色生物资源保护利用，做强藏药材溯源体系、冬虫夏草区域公用品牌建设，</w:t>
      </w:r>
      <w:r>
        <w:rPr>
          <w:rFonts w:hint="eastAsia" w:ascii="Times New Roman" w:hAnsi="Times New Roman" w:eastAsia="方正仿宋简体" w:cs="方正仿宋简体"/>
          <w:bCs/>
          <w:sz w:val="32"/>
          <w:szCs w:val="28"/>
          <w:lang w:val="en-US" w:eastAsia="zh-CN"/>
        </w:rPr>
        <w:t>推动藏医药产业高质量发展。</w:t>
      </w:r>
    </w:p>
    <w:p w14:paraId="47E9AF5C">
      <w:pPr>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1）推进生产标准化与科技融合。持续推动藏药生产告别传统小作坊模式，参照申扎县藏医院制剂室标准化改造经验，全面推进制剂生产科学化、规模化升级，配齐精密检测设备，实现生产全流程质量管控。深化传统炮制工艺与现代器械适配融合，优化改良传统生产工序，研发高效节能生产技术，全面提升藏药制剂品质与疗效。</w:t>
      </w:r>
    </w:p>
    <w:p w14:paraId="6AF936C8">
      <w:pPr>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2）构建区域协同产业格局。以市藏医院制剂中心为龙头，强化县域藏医药站点联动，依托“生产基地+县域藏医院+乡（镇）网点”模式，统筹承接市域藏药调剂、委托生产等业务。加快推进藏药注册备案工作，扩容医保目录藏药品种，畅通基层藏药普惠供给渠道。</w:t>
      </w:r>
    </w:p>
    <w:p w14:paraId="75B7991A">
      <w:pPr>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3）强化人才培育与技艺传承。整合市域藏医药人才资源，重点吸纳本土青年人才，常态化开展跨区域专业能力提升培训。依托藏医药展示平台、产学研合作机制，系统传承特色诊疗技艺与传统炮制工艺，培育复合型藏医药专业人才，破解行业人才断层难题。</w:t>
      </w:r>
    </w:p>
    <w:p w14:paraId="1F7983CB">
      <w:pPr>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4）拓宽产业边界与市场空间。推动藏医药与康养食疗深度融合，研发多元化健康膳食产品，加快科研成果产业化落地。深化藏医药与文旅产业融合，挖掘非遗文化价值，持续推进非遗项目申报，系统化打造“极地藏药”区域品牌，推动藏医药产业从本土市场向全国市场拓展。</w:t>
      </w:r>
    </w:p>
    <w:p w14:paraId="13C1B447">
      <w:pPr>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5）打造藏药材地理标识品牌。依托那曲藏药材品质稀缺、药性优良、市场认可度高的优势，以冬虫夏草为核心标杆，统筹整合各类特色藏药材资源，深挖高端消费、民生康养、科研应用多元价值，系统化培育“极地那曲药材”区域公共品牌，构建特色鲜明、价值突出的藏药材产业体系。</w:t>
      </w:r>
    </w:p>
    <w:p w14:paraId="092DBDBF">
      <w:pPr>
        <w:spacing w:line="576" w:lineRule="exact"/>
        <w:ind w:firstLine="640" w:firstLineChars="200"/>
        <w:jc w:val="both"/>
        <w:outlineLvl w:val="2"/>
        <w:rPr>
          <w:rFonts w:hint="eastAsia" w:ascii="Times New Roman" w:hAnsi="Times New Roman" w:eastAsia="方正仿宋简体" w:cs="方正仿宋简体"/>
          <w:bCs/>
          <w:sz w:val="32"/>
          <w:szCs w:val="28"/>
          <w:lang w:eastAsia="zh-CN"/>
        </w:rPr>
      </w:pPr>
      <w:bookmarkStart w:id="496" w:name="_Toc243241580"/>
      <w:r>
        <w:rPr>
          <w:rFonts w:hint="eastAsia" w:ascii="Times New Roman" w:hAnsi="Times New Roman" w:eastAsia="方正仿宋简体" w:cs="方正仿宋简体"/>
          <w:bCs/>
          <w:sz w:val="32"/>
          <w:szCs w:val="28"/>
          <w:lang w:eastAsia="zh-CN"/>
        </w:rPr>
        <w:t>3</w:t>
      </w:r>
      <w:r>
        <w:rPr>
          <w:rFonts w:hint="eastAsia" w:ascii="Times New Roman" w:hAnsi="Times New Roman" w:eastAsia="方正仿宋简体" w:cs="方正仿宋简体"/>
          <w:bCs/>
          <w:sz w:val="32"/>
          <w:szCs w:val="28"/>
          <w:lang w:val="en-US" w:eastAsia="zh-CN"/>
        </w:rPr>
        <w:t>．</w:t>
      </w:r>
      <w:r>
        <w:rPr>
          <w:rFonts w:hint="eastAsia" w:ascii="Times New Roman" w:hAnsi="Times New Roman" w:eastAsia="方正仿宋简体" w:cs="方正仿宋简体"/>
          <w:bCs/>
          <w:sz w:val="32"/>
          <w:szCs w:val="28"/>
          <w:lang w:eastAsia="zh-CN"/>
        </w:rPr>
        <w:t>清洁能源产业</w:t>
      </w:r>
      <w:bookmarkEnd w:id="496"/>
    </w:p>
    <w:p w14:paraId="3AD4F379">
      <w:pPr>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那曲市清洁能源产业立足市域富集的光伏、风电、水电、地热资源禀赋，锚定“五地”建设中的“国家清洁能源贡献地”发展定位，依托“三线一片一区”清洁能源开发空间布局，持续完善多能互补、储能配套、电力外送一体化产业体系。未来将坚守绿色低碳发展底线，聚焦短板攻坚、集约开发、能级提升，持续壮大绿色能源产业集群，为高原经济高质量发展注入稳定可持续的绿色动能，具体发展方向如下：</w:t>
      </w:r>
    </w:p>
    <w:p w14:paraId="168D2D72">
      <w:pPr>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1）优化空间开发布局，推进多能互补发展。严格落实全市“三线一片一区”清洁能源总体布局，统筹市域光伏、风电、水电、地热等多元能源资源开发，有序布局光热、氢储能等前沿赛道，推动各类能源协同配套、互补增效，构建多元化、复合型绿色能源供给体系。</w:t>
      </w:r>
    </w:p>
    <w:p w14:paraId="411522A4">
      <w:pPr>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2）聚焦核心短板攻坚，提升电网保障能力。针对性破解风光发电间歇性、波动性难题，重点攻关高海拔电网调峰、稳压、储能适配技术，持续升级改造市域电网基础设施，完善电力消纳与外送配套体系，全面提升电网稳定运行能力和能源保供水平。</w:t>
      </w:r>
    </w:p>
    <w:p w14:paraId="62DEB834">
      <w:pPr>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3）坚持科学开发模式，扩大产业装机规模。遵循“政府引导、市场运作、企业主体”原则，统筹推进分布式、集约化清洁能源有序开发，合理扩容绿色能源装机规模，持续巩固“那电外送”硬件基础，强化藏北区域能源供给支撑能力。</w:t>
      </w:r>
    </w:p>
    <w:p w14:paraId="154D9FCD">
      <w:pPr>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4）深化生态能源融合，构建绿色发展模式。立足高原生态保护底线，规模化推广“牧光互补”等生态友好型开发模式，统筹能源开发、草场保护与生态修复，实现清洁能源产业发展与高原生态保护双向赋能、协同增效。</w:t>
      </w:r>
    </w:p>
    <w:p w14:paraId="5DF82714">
      <w:pPr>
        <w:spacing w:line="576" w:lineRule="exact"/>
        <w:ind w:firstLine="640" w:firstLineChars="200"/>
        <w:jc w:val="both"/>
        <w:outlineLvl w:val="2"/>
        <w:rPr>
          <w:rFonts w:hint="eastAsia" w:ascii="Times New Roman" w:hAnsi="Times New Roman" w:eastAsia="方正仿宋简体" w:cs="方正仿宋简体"/>
          <w:bCs/>
          <w:sz w:val="32"/>
          <w:szCs w:val="28"/>
          <w:lang w:eastAsia="zh-CN"/>
        </w:rPr>
      </w:pPr>
      <w:bookmarkStart w:id="497" w:name="_Toc243241581"/>
      <w:r>
        <w:rPr>
          <w:rFonts w:hint="eastAsia" w:ascii="Times New Roman" w:hAnsi="Times New Roman" w:eastAsia="方正仿宋简体" w:cs="方正仿宋简体"/>
          <w:bCs/>
          <w:sz w:val="32"/>
          <w:szCs w:val="28"/>
          <w:lang w:eastAsia="zh-CN"/>
        </w:rPr>
        <w:t>4</w:t>
      </w:r>
      <w:r>
        <w:rPr>
          <w:rFonts w:hint="eastAsia" w:ascii="Times New Roman" w:hAnsi="Times New Roman" w:eastAsia="方正仿宋简体" w:cs="方正仿宋简体"/>
          <w:bCs/>
          <w:sz w:val="32"/>
          <w:szCs w:val="28"/>
          <w:lang w:val="en-US" w:eastAsia="zh-CN"/>
        </w:rPr>
        <w:t>．</w:t>
      </w:r>
      <w:r>
        <w:rPr>
          <w:rFonts w:hint="eastAsia" w:ascii="Times New Roman" w:hAnsi="Times New Roman" w:eastAsia="方正仿宋简体" w:cs="方正仿宋简体"/>
          <w:bCs/>
          <w:sz w:val="32"/>
          <w:szCs w:val="28"/>
          <w:lang w:eastAsia="zh-CN"/>
        </w:rPr>
        <w:t>特色文旅产业</w:t>
      </w:r>
      <w:bookmarkEnd w:id="497"/>
    </w:p>
    <w:p w14:paraId="14001F88">
      <w:pPr>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那曲市生态文旅产业未来将聚焦业态升级、服务提质、区域联动、智慧赋能，持续推动产业从单一自然观光向深度文化体验、全域生态度假、专业化圈层研学多元转型，全面激活高原独有的生态价值与文化价值。</w:t>
      </w:r>
    </w:p>
    <w:p w14:paraId="63C66225">
      <w:pPr>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1）深化跨区域文旅协同发展。依托藏西北文旅联盟合作机制，以G317景观廊道为核心轴线，布局沿线特色文旅驿站，联动昌都、阿里等地区统筹打造精品旅游线路，共享客源市场、共塑区域品牌，系统化讲好“极地那曲故事”，拓展文旅发展辐射空间。</w:t>
      </w:r>
    </w:p>
    <w:p w14:paraId="4CB0190E">
      <w:pPr>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2）推进文旅智慧化升级。加快大数据、物联网、数字化技术全域赋能文旅产业，搭建集信息查询、票务预约、交通接驳、应急救助、消费服务于一体的全域智慧旅游平台，实现游客服务“一站式、一键式”办理，全面提升文旅服务精细化、智能化水平。</w:t>
      </w:r>
    </w:p>
    <w:p w14:paraId="1ABE1258">
      <w:pPr>
        <w:spacing w:line="576" w:lineRule="exact"/>
        <w:ind w:firstLine="640" w:firstLineChars="200"/>
        <w:jc w:val="both"/>
        <w:outlineLvl w:val="2"/>
        <w:rPr>
          <w:rFonts w:hint="eastAsia" w:ascii="Times New Roman" w:hAnsi="Times New Roman" w:eastAsia="方正仿宋简体" w:cs="方正仿宋简体"/>
          <w:bCs/>
          <w:sz w:val="32"/>
          <w:szCs w:val="28"/>
          <w:lang w:eastAsia="zh-CN"/>
        </w:rPr>
      </w:pPr>
      <w:bookmarkStart w:id="498" w:name="_Toc243241582"/>
      <w:r>
        <w:rPr>
          <w:rFonts w:hint="eastAsia" w:ascii="Times New Roman" w:hAnsi="Times New Roman" w:eastAsia="方正仿宋简体" w:cs="方正仿宋简体"/>
          <w:bCs/>
          <w:sz w:val="32"/>
          <w:szCs w:val="28"/>
          <w:lang w:val="en-US" w:eastAsia="zh-CN"/>
        </w:rPr>
        <w:t>5．</w:t>
      </w:r>
      <w:r>
        <w:rPr>
          <w:rFonts w:hint="eastAsia" w:ascii="Times New Roman" w:hAnsi="Times New Roman" w:eastAsia="方正仿宋简体" w:cs="方正仿宋简体"/>
          <w:bCs/>
          <w:sz w:val="32"/>
          <w:szCs w:val="28"/>
          <w:lang w:eastAsia="zh-CN"/>
        </w:rPr>
        <w:t>绿色</w:t>
      </w:r>
      <w:r>
        <w:rPr>
          <w:rFonts w:hint="eastAsia" w:ascii="Times New Roman" w:hAnsi="Times New Roman" w:eastAsia="方正仿宋简体" w:cs="方正仿宋简体"/>
          <w:bCs/>
          <w:sz w:val="32"/>
          <w:szCs w:val="32"/>
          <w:lang w:val="en-US" w:eastAsia="zh-CN"/>
        </w:rPr>
        <w:t>矿产</w:t>
      </w:r>
      <w:r>
        <w:rPr>
          <w:rFonts w:hint="eastAsia" w:ascii="Times New Roman" w:hAnsi="Times New Roman" w:eastAsia="方正仿宋简体" w:cs="方正仿宋简体"/>
          <w:bCs/>
          <w:sz w:val="32"/>
          <w:szCs w:val="28"/>
          <w:lang w:eastAsia="zh-CN"/>
        </w:rPr>
        <w:t>业</w:t>
      </w:r>
      <w:bookmarkEnd w:id="498"/>
    </w:p>
    <w:p w14:paraId="08D26ECC">
      <w:pPr>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那曲市战略性矿产资源禀赋突出，以盐湖锂、水菱镁矿为代表的优势矿产资源储备充足、开发潜力巨大。未来将始终坚守生态保护底线，坚定走绿色化、规模化、高值化发展路径，统筹资源有序开发、生态系统保护与民生稳定增收，打造生态友好、技术先进、效益优良、地企共赢的现代绿色矿业体系，助力国家能源资源安全保障与地方经济高质量协同发展。</w:t>
      </w:r>
    </w:p>
    <w:p w14:paraId="0BF13DC3">
      <w:pPr>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1）聚焦优势矿产综合开发。重点推进班嘎错、当雄错等盐湖资源开发，围绕锂、钾、硼等战略性矿产开展综合利用，杜绝单一资源粗放开采。依托盐湖锂矿等特色资源，延链补链构建优势矿产产业链条，推动资源开发从单一开采向多资源协同、全链条增值转变，最大化释放资源价值。</w:t>
      </w:r>
    </w:p>
    <w:p w14:paraId="40DB176A">
      <w:pPr>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2）提升产业集约化发展水平。针对砂石矿山“小、散、弱”问题，通过区块整合、规划管控优化矿产开发布局，推进规模化、集约化开采。全力推进重点矿业项目建设，支持龙头企业提质扩能、转型升级，培育那曲矿业产业集群，逐步改变初级矿产品输出的低端产业格局。</w:t>
      </w:r>
    </w:p>
    <w:p w14:paraId="301E127A">
      <w:pPr>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3）贯穿全流程绿色开发理念。将生态保护要求嵌入矿产开发、生产、闭坑修复全周期，推广全封闭开采、场地硬化、污染防控等绿色工艺。严格落实边开采、边治理要求，常态化开展矿山生态修复与土地复垦，配套建设环境在线监测体系，筑牢高原生态安全屏障。</w:t>
      </w:r>
    </w:p>
    <w:p w14:paraId="0CB7AB6A">
      <w:pPr>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4）强化政企协同保障赋能。持续深化“放管服”改革，优化矿业营商环境，强化项目要素保障、手续代办、难题协调服务。健全资源开发利益联结机制，依托产业发展带动本地就业、群众增收，构建政企联动、地企共赢的长效发展格局。</w:t>
      </w:r>
    </w:p>
    <w:p w14:paraId="7D37B3DB">
      <w:pPr>
        <w:spacing w:line="576" w:lineRule="exact"/>
        <w:ind w:firstLine="640" w:firstLineChars="200"/>
        <w:jc w:val="both"/>
        <w:outlineLvl w:val="2"/>
        <w:rPr>
          <w:rFonts w:hint="eastAsia" w:ascii="Times New Roman" w:hAnsi="Times New Roman" w:eastAsia="方正仿宋简体" w:cs="方正仿宋简体"/>
          <w:bCs/>
          <w:sz w:val="32"/>
          <w:szCs w:val="28"/>
          <w:lang w:eastAsia="zh-CN"/>
        </w:rPr>
      </w:pPr>
      <w:bookmarkStart w:id="499" w:name="_Toc243241583"/>
      <w:r>
        <w:rPr>
          <w:rFonts w:hint="eastAsia" w:ascii="Times New Roman" w:hAnsi="Times New Roman" w:eastAsia="方正仿宋简体" w:cs="方正仿宋简体"/>
          <w:bCs/>
          <w:sz w:val="32"/>
          <w:szCs w:val="28"/>
          <w:lang w:val="en-US" w:eastAsia="zh-CN"/>
        </w:rPr>
        <w:t>6．</w:t>
      </w:r>
      <w:r>
        <w:rPr>
          <w:rFonts w:hint="eastAsia" w:ascii="Times New Roman" w:hAnsi="Times New Roman" w:eastAsia="方正仿宋简体" w:cs="方正仿宋简体"/>
          <w:bCs/>
          <w:sz w:val="32"/>
          <w:szCs w:val="28"/>
          <w:lang w:eastAsia="zh-CN"/>
        </w:rPr>
        <w:t>交通物流产业</w:t>
      </w:r>
      <w:bookmarkEnd w:id="499"/>
    </w:p>
    <w:p w14:paraId="5CFBDB28">
      <w:pPr>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那曲市交通物流产业立足藏北区域枢纽区位优势，依托全域综合交通骨干网络，未来将聚焦智慧转型、绿色低碳、一体联动、开放赋能，持续完善现代化城乡物流体系，畅通双向流通渠道，打造辐射藏北、衔接内地、联通南亚的综合物流枢纽体系。</w:t>
      </w:r>
    </w:p>
    <w:p w14:paraId="45137E73">
      <w:pPr>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1）推进物流园区智慧升级。以青藏铁路那曲物流中心为核心载体，落地大数据管控、智能溯源、自动化仓储等数字化设备，搭建智慧物流管控平台，实现货物仓储、分拨、运输全流程可视化追踪、智能化管理，全面提升物流运行效率，建设藏北智慧物流枢纽标杆。</w:t>
      </w:r>
    </w:p>
    <w:p w14:paraId="17E6D15B">
      <w:pPr>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2）构建低碳绿色物流体系。紧扣高原“双碳”发展目标，推广新能源运输车辆、光伏配套仓储等绿色设施，优化物流运输组织模式，降低物流行业碳排放与运维能耗，推动物流产业绿色低碳转型升级，实现物流发展与生态保护协同共生。</w:t>
      </w:r>
    </w:p>
    <w:p w14:paraId="0CFA3FCB">
      <w:pPr>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3）深化产业融合联动发展。持续深化“交邮融合”“邮快合作”发展模式，补齐城乡物流、冷链物流基础设施短板，完善“工业品下乡、农畜产品进城”双向流通体系，推动物流业态与矿产、农畜产品、文旅等特色产业深度融合，强化产业赋能支撑。</w:t>
      </w:r>
    </w:p>
    <w:p w14:paraId="776DF6E8">
      <w:pPr>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4）拓宽对外开放物流格局。依托青藏铁路、高等级公路骨干网络，持续畅通对内对外物流大通道，深化与内地市场互联互通，拓展南亚区域物流联动业务，稳步打造“一带一路”南亚物流通道重要节点，提升市域物流外向型服务能力。</w:t>
      </w:r>
    </w:p>
    <w:p w14:paraId="50A609E8">
      <w:pPr>
        <w:spacing w:line="576" w:lineRule="exact"/>
        <w:ind w:firstLine="640" w:firstLineChars="200"/>
        <w:jc w:val="both"/>
        <w:outlineLvl w:val="2"/>
        <w:rPr>
          <w:rFonts w:hint="eastAsia" w:ascii="Times New Roman" w:hAnsi="Times New Roman" w:eastAsia="方正仿宋简体" w:cs="方正仿宋简体"/>
          <w:bCs/>
          <w:sz w:val="32"/>
          <w:szCs w:val="28"/>
          <w:lang w:eastAsia="zh-CN"/>
        </w:rPr>
      </w:pPr>
      <w:bookmarkStart w:id="500" w:name="_Toc243241584"/>
      <w:r>
        <w:rPr>
          <w:rFonts w:hint="eastAsia" w:ascii="Times New Roman" w:hAnsi="Times New Roman" w:eastAsia="方正仿宋简体" w:cs="方正仿宋简体"/>
          <w:bCs/>
          <w:sz w:val="32"/>
          <w:szCs w:val="28"/>
          <w:lang w:eastAsia="zh-CN"/>
        </w:rPr>
        <w:t>7</w:t>
      </w:r>
      <w:r>
        <w:rPr>
          <w:rFonts w:hint="eastAsia" w:ascii="Times New Roman" w:hAnsi="Times New Roman" w:eastAsia="方正仿宋简体" w:cs="方正仿宋简体"/>
          <w:bCs/>
          <w:sz w:val="32"/>
          <w:szCs w:val="28"/>
          <w:lang w:val="en-US" w:eastAsia="zh-CN"/>
        </w:rPr>
        <w:t>．</w:t>
      </w:r>
      <w:r>
        <w:rPr>
          <w:rFonts w:hint="eastAsia" w:ascii="Times New Roman" w:hAnsi="Times New Roman" w:eastAsia="方正仿宋简体" w:cs="方正仿宋简体"/>
          <w:bCs/>
          <w:sz w:val="32"/>
          <w:szCs w:val="28"/>
          <w:lang w:eastAsia="zh-CN"/>
        </w:rPr>
        <w:t>民族</w:t>
      </w:r>
      <w:r>
        <w:rPr>
          <w:rFonts w:hint="eastAsia" w:ascii="Times New Roman" w:hAnsi="Times New Roman" w:eastAsia="方正仿宋简体" w:cs="方正仿宋简体"/>
          <w:bCs/>
          <w:sz w:val="32"/>
          <w:szCs w:val="32"/>
          <w:lang w:val="en-US" w:eastAsia="zh-CN"/>
        </w:rPr>
        <w:t>手工业</w:t>
      </w:r>
      <w:bookmarkEnd w:id="500"/>
    </w:p>
    <w:p w14:paraId="0CD6EB37">
      <w:pPr>
        <w:spacing w:line="576" w:lineRule="exact"/>
        <w:ind w:firstLine="640" w:firstLineChars="200"/>
        <w:jc w:val="both"/>
        <w:rPr>
          <w:rFonts w:hint="eastAsia" w:ascii="Times New Roman" w:hAnsi="Times New Roman" w:eastAsia="方正仿宋简体" w:cs="方正仿宋简体"/>
          <w:bCs/>
          <w:sz w:val="32"/>
          <w:szCs w:val="28"/>
          <w:lang w:eastAsia="zh-CN"/>
        </w:rPr>
      </w:pPr>
      <w:r>
        <w:rPr>
          <w:rFonts w:hint="eastAsia" w:ascii="Times New Roman" w:hAnsi="Times New Roman" w:eastAsia="方正仿宋简体" w:cs="方正仿宋简体"/>
          <w:bCs/>
          <w:sz w:val="32"/>
          <w:szCs w:val="28"/>
          <w:lang w:eastAsia="zh-CN"/>
        </w:rPr>
        <w:t>那曲市民族手工业立足非遗活态传承、产业赋能增效、群众富民增收核心导向，</w:t>
      </w:r>
      <w:r>
        <w:rPr>
          <w:rFonts w:hint="eastAsia" w:ascii="Times New Roman" w:hAnsi="Times New Roman" w:eastAsia="方正仿宋简体" w:cs="方正仿宋简体"/>
          <w:bCs/>
          <w:sz w:val="32"/>
          <w:szCs w:val="28"/>
          <w:lang w:val="en-US" w:eastAsia="zh-CN"/>
        </w:rPr>
        <w:t>未来</w:t>
      </w:r>
      <w:r>
        <w:rPr>
          <w:rFonts w:hint="eastAsia" w:ascii="Times New Roman" w:hAnsi="Times New Roman" w:eastAsia="方正仿宋简体" w:cs="方正仿宋简体"/>
          <w:bCs/>
          <w:sz w:val="32"/>
          <w:szCs w:val="28"/>
          <w:lang w:eastAsia="zh-CN"/>
        </w:rPr>
        <w:t>将聚焦技艺创新、产品提质、集群发展、品牌拓市，持续推动传统“指尖技艺”向规模化、市场化、品牌化“指尖经济”高效转化。</w:t>
      </w:r>
    </w:p>
    <w:p w14:paraId="2C0A5FF8">
      <w:pPr>
        <w:spacing w:line="576" w:lineRule="exact"/>
        <w:ind w:firstLine="640" w:firstLineChars="200"/>
        <w:jc w:val="both"/>
        <w:rPr>
          <w:rFonts w:hint="eastAsia" w:ascii="Times New Roman" w:hAnsi="Times New Roman" w:eastAsia="方正仿宋简体" w:cs="方正仿宋简体"/>
          <w:bCs/>
          <w:sz w:val="32"/>
          <w:szCs w:val="28"/>
          <w:lang w:eastAsia="zh-CN"/>
        </w:rPr>
      </w:pPr>
      <w:r>
        <w:rPr>
          <w:rFonts w:hint="eastAsia" w:ascii="Times New Roman" w:hAnsi="Times New Roman" w:eastAsia="方正仿宋简体" w:cs="方正仿宋简体"/>
          <w:bCs/>
          <w:sz w:val="32"/>
          <w:szCs w:val="28"/>
          <w:lang w:eastAsia="zh-CN"/>
        </w:rPr>
        <w:t>（1）强化技艺传承与人才培育。常态化举办各类技艺赛事，搭建手工艺人交流竞技平台。依托职业院校、非遗工坊、专业合作社，推行“非遗传承人+学徒”传帮带模式，重点培育编织、皮具、藏装、金属锻造、制陶等领域专业人才，破解技艺传承断层难题。</w:t>
      </w:r>
    </w:p>
    <w:p w14:paraId="25106F68">
      <w:pPr>
        <w:spacing w:line="576" w:lineRule="exact"/>
        <w:ind w:firstLine="640" w:firstLineChars="200"/>
        <w:jc w:val="both"/>
        <w:rPr>
          <w:rFonts w:hint="eastAsia" w:ascii="Times New Roman" w:hAnsi="Times New Roman" w:eastAsia="方正仿宋简体" w:cs="方正仿宋简体"/>
          <w:bCs/>
          <w:sz w:val="32"/>
          <w:szCs w:val="28"/>
          <w:lang w:eastAsia="zh-CN"/>
        </w:rPr>
      </w:pPr>
      <w:r>
        <w:rPr>
          <w:rFonts w:hint="eastAsia" w:ascii="Times New Roman" w:hAnsi="Times New Roman" w:eastAsia="方正仿宋简体" w:cs="方正仿宋简体"/>
          <w:bCs/>
          <w:sz w:val="32"/>
          <w:szCs w:val="28"/>
          <w:lang w:eastAsia="zh-CN"/>
        </w:rPr>
        <w:t>（2）推动产品创新与品质升级。推动传统工艺与现代审美深度融合，优化藏袍、皮具、金属饰品、陶器等产品设计，开发适配市场需求的文创系列产品。常态化开展工艺改良、现代设计专项培训，优化原材料甄选、加工制作工序，兼顾产品实用性、观赏性与精致度，打破传统产品样式单一、适配性弱的局限。</w:t>
      </w:r>
    </w:p>
    <w:p w14:paraId="028EB91C">
      <w:pPr>
        <w:spacing w:line="576" w:lineRule="exact"/>
        <w:ind w:firstLine="640" w:firstLineChars="200"/>
        <w:jc w:val="both"/>
        <w:rPr>
          <w:rFonts w:hint="eastAsia" w:ascii="Times New Roman" w:hAnsi="Times New Roman" w:eastAsia="方正仿宋简体" w:cs="方正仿宋简体"/>
          <w:bCs/>
          <w:sz w:val="32"/>
          <w:szCs w:val="28"/>
          <w:lang w:eastAsia="zh-CN"/>
        </w:rPr>
      </w:pPr>
      <w:r>
        <w:rPr>
          <w:rFonts w:hint="eastAsia" w:ascii="Times New Roman" w:hAnsi="Times New Roman" w:eastAsia="方正仿宋简体" w:cs="方正仿宋简体"/>
          <w:bCs/>
          <w:sz w:val="32"/>
          <w:szCs w:val="28"/>
          <w:lang w:eastAsia="zh-CN"/>
        </w:rPr>
        <w:t>（3）构建集群化协作发展模式。推广“政府+企业+合作社+手工艺人”发展模式，依托牧业科技产业园手工艺集聚区，整合上下游资源，集聚生产、设计、销售主体。扶持壮大特色手工业合作社，扩大规模化生产能力，带动更多农牧民就地就近就业，形成抱团发展、集群增效的产业格局。</w:t>
      </w:r>
    </w:p>
    <w:p w14:paraId="38600FDC">
      <w:pPr>
        <w:spacing w:line="576" w:lineRule="exact"/>
        <w:ind w:firstLine="640" w:firstLineChars="200"/>
        <w:jc w:val="both"/>
        <w:rPr>
          <w:rFonts w:hint="eastAsia" w:ascii="Times New Roman" w:hAnsi="Times New Roman" w:eastAsia="方正仿宋简体" w:cs="方正仿宋简体"/>
          <w:bCs/>
          <w:sz w:val="32"/>
          <w:szCs w:val="28"/>
          <w:lang w:eastAsia="zh-CN"/>
        </w:rPr>
      </w:pPr>
      <w:r>
        <w:rPr>
          <w:rFonts w:hint="eastAsia" w:ascii="Times New Roman" w:hAnsi="Times New Roman" w:eastAsia="方正仿宋简体" w:cs="方正仿宋简体"/>
          <w:bCs/>
          <w:sz w:val="32"/>
          <w:szCs w:val="28"/>
          <w:lang w:eastAsia="zh-CN"/>
        </w:rPr>
        <w:t>（4）拓宽市场渠道与品牌矩阵。构建“线上电商+线下体验+展会推介”多元销售体系，依托平台流量优势、文旅场景资源培育羌塘手工特色品牌。常态化参与各类文创、手工艺展会，持续提升产品知名度与市场附加值，推动那曲特色非遗手工艺品走出藏北、走向全国。</w:t>
      </w:r>
    </w:p>
    <w:p w14:paraId="584D369A">
      <w:pPr>
        <w:spacing w:line="576" w:lineRule="exact"/>
        <w:ind w:firstLine="640" w:firstLineChars="200"/>
        <w:jc w:val="both"/>
        <w:outlineLvl w:val="2"/>
        <w:rPr>
          <w:rFonts w:hint="eastAsia" w:ascii="Times New Roman" w:hAnsi="Times New Roman" w:eastAsia="方正仿宋简体" w:cs="方正仿宋简体"/>
          <w:bCs/>
          <w:sz w:val="32"/>
          <w:szCs w:val="28"/>
          <w:lang w:eastAsia="zh-CN"/>
        </w:rPr>
      </w:pPr>
      <w:bookmarkStart w:id="501" w:name="OLE_LINK117"/>
      <w:bookmarkStart w:id="502" w:name="_Toc243241585"/>
      <w:r>
        <w:rPr>
          <w:rFonts w:hint="eastAsia" w:ascii="Times New Roman" w:hAnsi="Times New Roman" w:eastAsia="方正仿宋简体" w:cs="方正仿宋简体"/>
          <w:bCs/>
          <w:sz w:val="32"/>
          <w:szCs w:val="28"/>
          <w:lang w:eastAsia="zh-CN"/>
        </w:rPr>
        <w:t>8</w:t>
      </w:r>
      <w:r>
        <w:rPr>
          <w:rFonts w:hint="eastAsia" w:ascii="Times New Roman" w:hAnsi="Times New Roman" w:eastAsia="方正仿宋简体" w:cs="方正仿宋简体"/>
          <w:bCs/>
          <w:sz w:val="32"/>
          <w:szCs w:val="28"/>
          <w:lang w:val="en-US" w:eastAsia="zh-CN"/>
        </w:rPr>
        <w:t>．</w:t>
      </w:r>
      <w:bookmarkEnd w:id="501"/>
      <w:r>
        <w:rPr>
          <w:rFonts w:hint="eastAsia" w:ascii="Times New Roman" w:hAnsi="Times New Roman" w:eastAsia="方正仿宋简体" w:cs="方正仿宋简体"/>
          <w:bCs/>
          <w:sz w:val="32"/>
          <w:szCs w:val="28"/>
          <w:lang w:eastAsia="zh-CN"/>
        </w:rPr>
        <w:t>高原</w:t>
      </w:r>
      <w:r>
        <w:rPr>
          <w:rFonts w:hint="eastAsia" w:ascii="Times New Roman" w:hAnsi="Times New Roman" w:eastAsia="方正仿宋简体" w:cs="方正仿宋简体"/>
          <w:bCs/>
          <w:sz w:val="32"/>
          <w:szCs w:val="32"/>
          <w:lang w:val="en-US" w:eastAsia="zh-CN"/>
        </w:rPr>
        <w:t>特色</w:t>
      </w:r>
      <w:r>
        <w:rPr>
          <w:rFonts w:hint="eastAsia" w:ascii="Times New Roman" w:hAnsi="Times New Roman" w:eastAsia="方正仿宋简体" w:cs="方正仿宋简体"/>
          <w:bCs/>
          <w:sz w:val="32"/>
          <w:szCs w:val="28"/>
          <w:lang w:eastAsia="zh-CN"/>
        </w:rPr>
        <w:t>种植业</w:t>
      </w:r>
      <w:bookmarkEnd w:id="502"/>
    </w:p>
    <w:bookmarkEnd w:id="481"/>
    <w:p w14:paraId="25348DF6">
      <w:pPr>
        <w:spacing w:line="576" w:lineRule="exact"/>
        <w:ind w:firstLine="640" w:firstLineChars="200"/>
        <w:jc w:val="both"/>
        <w:rPr>
          <w:rFonts w:hint="eastAsia" w:ascii="Times New Roman" w:hAnsi="Times New Roman" w:eastAsia="方正仿宋简体" w:cs="方正仿宋简体"/>
          <w:bCs/>
          <w:sz w:val="32"/>
          <w:szCs w:val="28"/>
          <w:lang w:eastAsia="zh-CN"/>
        </w:rPr>
      </w:pPr>
      <w:r>
        <w:rPr>
          <w:rFonts w:hint="eastAsia" w:ascii="Times New Roman" w:hAnsi="Times New Roman" w:eastAsia="方正仿宋简体" w:cs="方正仿宋简体"/>
          <w:bCs/>
          <w:sz w:val="32"/>
          <w:szCs w:val="28"/>
          <w:lang w:val="en-US" w:eastAsia="zh-CN"/>
        </w:rPr>
        <w:t>那曲市高原特色种植业坚持生态优先、科技赋能、品牌引领、三产融合发</w:t>
      </w:r>
      <w:r>
        <w:rPr>
          <w:rFonts w:hint="eastAsia" w:ascii="Times New Roman" w:hAnsi="Times New Roman" w:eastAsia="方正仿宋简体" w:cs="方正仿宋简体"/>
          <w:bCs/>
          <w:sz w:val="32"/>
          <w:szCs w:val="28"/>
          <w:lang w:eastAsia="zh-CN"/>
        </w:rPr>
        <w:t>展思路，立足高海拔区域差异化资源特征，聚焦品种培优、设施升级、链条延伸、市场拓面四大核心方向，构建适配高原极端环境、契合现代消费需求、带动群众稳定增收的现代种植产业体系。</w:t>
      </w:r>
    </w:p>
    <w:p w14:paraId="6C36CBF0">
      <w:pPr>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（1）推进</w:t>
      </w:r>
      <w:r>
        <w:rPr>
          <w:rFonts w:hint="eastAsia" w:ascii="Times New Roman" w:hAnsi="Times New Roman" w:eastAsia="方正仿宋简体" w:cs="方正仿宋简体"/>
          <w:bCs/>
          <w:sz w:val="32"/>
          <w:szCs w:val="28"/>
          <w:lang w:eastAsia="zh-CN"/>
        </w:rPr>
        <w:t>核心</w:t>
      </w:r>
      <w:r>
        <w:rPr>
          <w:rFonts w:hint="eastAsia" w:ascii="Times New Roman" w:hAnsi="Times New Roman" w:eastAsia="方正仿宋简体" w:cs="方正仿宋简体"/>
          <w:bCs/>
          <w:sz w:val="32"/>
          <w:szCs w:val="28"/>
          <w:lang w:val="en-US" w:eastAsia="zh-CN"/>
        </w:rPr>
        <w:t>品种培优与差异化布局。重点发展青稞、藏油菜、黑美人土豆、芫根等本土优势作物，深耕药食同源功能性农产品开发。规模化推广燕麦、绿洲一号、巨菌草等优质饲草，保障草畜平衡与生态修复需求。优化市域种植空间布局，构建“东部河谷经济作物、中部粮油主产、西部生态种草”的差异化发展格局。</w:t>
      </w:r>
    </w:p>
    <w:p w14:paraId="0D3AB186">
      <w:pPr>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（2）深化科技赋能与设施升级。聚焦高海拔育种、土壤改良、田间温控等</w:t>
      </w:r>
      <w:r>
        <w:rPr>
          <w:rFonts w:hint="eastAsia" w:ascii="Times New Roman" w:hAnsi="Times New Roman" w:eastAsia="方正仿宋简体" w:cs="方正仿宋简体"/>
          <w:bCs/>
          <w:sz w:val="32"/>
          <w:szCs w:val="28"/>
          <w:lang w:eastAsia="zh-CN"/>
        </w:rPr>
        <w:t>核心</w:t>
      </w:r>
      <w:r>
        <w:rPr>
          <w:rFonts w:hint="eastAsia" w:ascii="Times New Roman" w:hAnsi="Times New Roman" w:eastAsia="方正仿宋简体" w:cs="方正仿宋简体"/>
          <w:bCs/>
          <w:sz w:val="32"/>
          <w:szCs w:val="28"/>
          <w:lang w:val="en-US" w:eastAsia="zh-CN"/>
        </w:rPr>
        <w:t>技术攻关，提升特色作物抗逆性与产能。规模化推广标准化温室大棚等设施农业模式，丰富高原果蔬供给、完善本地“菜篮子”保障。推进耕种收加工全程机械化，搭建智慧农业监测管控体系，实现降本增效、精准管护。</w:t>
      </w:r>
    </w:p>
    <w:p w14:paraId="1FB9148F">
      <w:pPr>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3）延伸产业链条与推动三产融合。大力发展农产品精深加工，开发芫根饮品、黑土豆休闲食品、青稞深加工产品等，全面提升农产品附加值。壮大龙头企业、家庭农场、专业合作社等经营主体，推广订单农业模式，保障产销稳定衔接。依托田园资源开发农耕体验、高原</w:t>
      </w:r>
      <w:r>
        <w:rPr>
          <w:rFonts w:hint="eastAsia" w:ascii="Times New Roman" w:hAnsi="Times New Roman" w:eastAsia="方正仿宋简体" w:cs="方正仿宋简体"/>
          <w:bCs/>
          <w:sz w:val="32"/>
          <w:szCs w:val="28"/>
          <w:lang w:eastAsia="zh-CN"/>
        </w:rPr>
        <w:t>采摘</w:t>
      </w:r>
      <w:r>
        <w:rPr>
          <w:rFonts w:hint="eastAsia" w:ascii="Times New Roman" w:hAnsi="Times New Roman" w:eastAsia="方正仿宋简体" w:cs="方正仿宋简体"/>
          <w:bCs/>
          <w:sz w:val="32"/>
          <w:szCs w:val="28"/>
          <w:lang w:val="en-US" w:eastAsia="zh-CN"/>
        </w:rPr>
        <w:t>等农文旅项目，推动种养产业与文旅业态深度融合。</w:t>
      </w:r>
    </w:p>
    <w:p w14:paraId="1A56723E">
      <w:pPr>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4）强化品牌塑造与市场拓展。做强“极地那曲”区域公共品牌，突出高海拔、原生态、无污染、功能性核心标签，提升产品市场溢价能力。搭建电商直播、线下展会、定点订单等多元销售渠道，构建覆盖全国的产销网络，持续扩大市场份额。</w:t>
      </w:r>
    </w:p>
    <w:p w14:paraId="01696229">
      <w:pPr>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（5）坚守生态优先绿色发展。严格落实草畜平衡、轮作休耕制度，推行种养循环、</w:t>
      </w:r>
      <w:r>
        <w:rPr>
          <w:rFonts w:hint="eastAsia" w:ascii="Times New Roman" w:hAnsi="Times New Roman" w:eastAsia="方正仿宋简体" w:cs="方正仿宋简体"/>
          <w:bCs/>
          <w:sz w:val="32"/>
          <w:szCs w:val="28"/>
          <w:lang w:eastAsia="zh-CN"/>
        </w:rPr>
        <w:t>生态</w:t>
      </w:r>
      <w:r>
        <w:rPr>
          <w:rFonts w:hint="eastAsia" w:ascii="Times New Roman" w:hAnsi="Times New Roman" w:eastAsia="方正仿宋简体" w:cs="方正仿宋简体"/>
          <w:bCs/>
          <w:sz w:val="32"/>
          <w:szCs w:val="28"/>
          <w:lang w:val="en-US" w:eastAsia="zh-CN"/>
        </w:rPr>
        <w:t>修复协同模式，改良土壤、修复退化草场。推行绿色有机种植标准，严控化肥、农药投入，保障农产品质量安全，守护高原生态本底。</w:t>
      </w:r>
    </w:p>
    <w:p w14:paraId="42E763C2">
      <w:pPr>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（6）完善政策与人才支撑体系。落实种业扶持、加工补贴、品牌保护等配套政策，</w:t>
      </w:r>
      <w:r>
        <w:rPr>
          <w:rFonts w:hint="eastAsia" w:ascii="Times New Roman" w:hAnsi="Times New Roman" w:eastAsia="方正仿宋简体" w:cs="方正仿宋简体"/>
          <w:bCs/>
          <w:sz w:val="32"/>
          <w:szCs w:val="28"/>
          <w:lang w:eastAsia="zh-CN"/>
        </w:rPr>
        <w:t>持续</w:t>
      </w:r>
      <w:r>
        <w:rPr>
          <w:rFonts w:hint="eastAsia" w:ascii="Times New Roman" w:hAnsi="Times New Roman" w:eastAsia="方正仿宋简体" w:cs="方正仿宋简体"/>
          <w:bCs/>
          <w:sz w:val="32"/>
          <w:szCs w:val="28"/>
          <w:lang w:val="en-US" w:eastAsia="zh-CN"/>
        </w:rPr>
        <w:t>优化产业发展营商环境。常态化开展农牧民种植技能培训，引入科研团队、搭建产学研合作平台，筑牢产业科技与人才支撑。</w:t>
      </w:r>
    </w:p>
    <w:bookmarkEnd w:id="491"/>
    <w:p w14:paraId="41EAF167">
      <w:pPr>
        <w:spacing w:line="576" w:lineRule="exact"/>
        <w:ind w:firstLine="640" w:firstLineChars="200"/>
        <w:jc w:val="both"/>
        <w:outlineLvl w:val="2"/>
        <w:rPr>
          <w:rFonts w:hint="eastAsia" w:ascii="Times New Roman" w:hAnsi="Times New Roman" w:eastAsia="方正仿宋简体" w:cs="方正仿宋简体"/>
          <w:bCs/>
          <w:sz w:val="32"/>
          <w:szCs w:val="28"/>
          <w:lang w:eastAsia="zh-CN"/>
        </w:rPr>
      </w:pPr>
      <w:bookmarkStart w:id="503" w:name="_Toc243241586"/>
      <w:r>
        <w:rPr>
          <w:rFonts w:hint="eastAsia" w:ascii="Times New Roman" w:hAnsi="Times New Roman" w:eastAsia="方正仿宋简体" w:cs="方正仿宋简体"/>
          <w:bCs/>
          <w:sz w:val="32"/>
          <w:szCs w:val="28"/>
          <w:lang w:eastAsia="zh-CN"/>
        </w:rPr>
        <w:t>9</w:t>
      </w:r>
      <w:bookmarkStart w:id="504" w:name="OLE_LINK119"/>
      <w:r>
        <w:rPr>
          <w:rFonts w:hint="eastAsia" w:ascii="Times New Roman" w:hAnsi="Times New Roman" w:eastAsia="方正仿宋简体" w:cs="方正仿宋简体"/>
          <w:bCs/>
          <w:sz w:val="32"/>
          <w:szCs w:val="28"/>
          <w:lang w:val="en-US" w:eastAsia="zh-CN"/>
        </w:rPr>
        <w:t>．</w:t>
      </w:r>
      <w:bookmarkEnd w:id="504"/>
      <w:r>
        <w:rPr>
          <w:rFonts w:hint="eastAsia" w:ascii="Times New Roman" w:hAnsi="Times New Roman" w:eastAsia="方正仿宋简体" w:cs="方正仿宋简体"/>
          <w:bCs/>
          <w:sz w:val="32"/>
          <w:szCs w:val="28"/>
          <w:lang w:eastAsia="zh-CN"/>
        </w:rPr>
        <w:t>天然饮用水产业</w:t>
      </w:r>
      <w:bookmarkEnd w:id="503"/>
    </w:p>
    <w:p w14:paraId="6D3BDF3F">
      <w:pPr>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那曲市天然饮用水产业立足世界级极地水源禀赋与现有产业基础，紧扣由特色潜力产业向战略性支柱产业迭代进阶目标，坚守生态优先绿色开发底线，未来将聚焦生态管护、产能提质、品牌塑造、链条延伸四大方向，统筹水源保护、生产加工、市场开拓与富民增收，构建生态可控、产能适度、品牌突出、效益彰显的高原天然饮用水产业体系。</w:t>
      </w:r>
    </w:p>
    <w:p w14:paraId="2CF06421">
      <w:pPr>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1）强化水源地生态保护管控。严格落实高原生态保护要求，围绕“一塔四源”重点水源地集群，建立常态化水源勘察、水文水质动态监测机制，严守水资源开发利用红线。统筹冰川、湖泊生态保护与产业开发，健全水源地管护制度，严控开发强度，实现水源资源有序可持续利用，夯实产业发展生态根基。</w:t>
      </w:r>
    </w:p>
    <w:p w14:paraId="1D3E23BA">
      <w:pPr>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2）推进产能建设与生产提质升级。按照全域规划产能布局，有序推动水厂智能化改造提升，推广高海拔适配净水、灌装成套工艺装备，强化生产全流程质量检测管控。完善仓储、包装配套体系，补齐藏北水产业物流集散中心硬件短板，持续提升产品加工合格率与生产精细化水平，夯实规模化集群化开发硬件基础。</w:t>
      </w:r>
    </w:p>
    <w:p w14:paraId="73ED52F6">
      <w:pPr>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3）做强区域特色品牌矩阵。深度借力“西藏好水”省级公共品牌，着力打造“极地好水（那水）”区域特色品牌。深挖不同水源地差异化特质，发展高端功能水、极地文创定制水、礼赠用水等差异化产品，丰富产品矩阵。用好电商平台、展会推介、机关单位采购等渠道，拓宽区内外市场，提升产品市场辨识度与品牌溢价。</w:t>
      </w:r>
    </w:p>
    <w:p w14:paraId="729490A4">
      <w:pPr>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4）延伸产业链条深化富民带动。推动饮用水产业与文旅产业深度融合，探索水源科普、工业观光等新业态。完善全链条二维码溯源体系，打通生产端到消费端信息链路。健全利益联结机制，吸纳本地群众、返乡大学生参与水源管护、生产加工、物流营销各环节，拓宽农牧民就近就业增收渠道，实现产业发展与群众增收双向共赢。</w:t>
      </w:r>
    </w:p>
    <w:p w14:paraId="487DC55C">
      <w:pPr>
        <w:spacing w:line="576" w:lineRule="exact"/>
        <w:ind w:firstLine="640" w:firstLineChars="200"/>
        <w:jc w:val="both"/>
        <w:outlineLvl w:val="2"/>
        <w:rPr>
          <w:rFonts w:hint="eastAsia" w:ascii="Times New Roman" w:hAnsi="Times New Roman" w:eastAsia="方正仿宋简体" w:cs="方正仿宋简体"/>
          <w:bCs/>
          <w:sz w:val="32"/>
          <w:szCs w:val="28"/>
          <w:lang w:eastAsia="zh-CN"/>
        </w:rPr>
      </w:pPr>
      <w:bookmarkStart w:id="505" w:name="_Toc243241587"/>
      <w:r>
        <w:rPr>
          <w:rFonts w:hint="eastAsia" w:ascii="Times New Roman" w:hAnsi="Times New Roman" w:eastAsia="方正仿宋简体" w:cs="方正仿宋简体"/>
          <w:bCs/>
          <w:sz w:val="32"/>
          <w:szCs w:val="28"/>
          <w:lang w:eastAsia="zh-CN"/>
        </w:rPr>
        <w:t>10</w:t>
      </w:r>
      <w:r>
        <w:rPr>
          <w:rFonts w:hint="eastAsia" w:ascii="Times New Roman" w:hAnsi="Times New Roman" w:eastAsia="方正仿宋简体" w:cs="方正仿宋简体"/>
          <w:bCs/>
          <w:sz w:val="32"/>
          <w:szCs w:val="28"/>
          <w:lang w:val="en-US" w:eastAsia="zh-CN"/>
        </w:rPr>
        <w:t>．卤</w:t>
      </w:r>
      <w:r>
        <w:rPr>
          <w:rFonts w:hint="eastAsia" w:ascii="Times New Roman" w:hAnsi="Times New Roman" w:eastAsia="方正仿宋简体" w:cs="方正仿宋简体"/>
          <w:bCs/>
          <w:sz w:val="32"/>
          <w:szCs w:val="28"/>
          <w:lang w:eastAsia="zh-CN"/>
        </w:rPr>
        <w:t>虫卵产业</w:t>
      </w:r>
      <w:bookmarkEnd w:id="505"/>
    </w:p>
    <w:p w14:paraId="1C0935E9">
      <w:pPr>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那曲市卤虫卵产业立足独一无二的极地盐湖资源禀赋，严守生态配额捕捞制度，坚持保护优先、限量开发、精深增值的发展思路，未来将围绕资源管护、加工提级、链条延伸、品牌赋能四大方向，推动产业提质升级，打造高原特色生物产业新增长极。</w:t>
      </w:r>
    </w:p>
    <w:p w14:paraId="2865FD2B">
      <w:pPr>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1）筑牢盐湖资源生态管控体系。严格执行生态配额捕捞管理制度，建立其香错重点盐湖常态化生态监测机制，开展盐湖水文、盐度、卤虫种质资源动态评估，科学核定年度捕捞规模。规范捕捞作业流程，强化捕捞全过程监管，实现盐湖生态保护与卤虫资源可持续开发，守住产业资源本底。</w:t>
      </w:r>
    </w:p>
    <w:p w14:paraId="6BAE2612">
      <w:pPr>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2）推动精深加工能力迭代升级。持续升级深加工厂加工装备，优化清洗脱盐、壳卵分离、智能分选生产工艺，提升孵化率检测、营养成分快速检测能力，稳定成品品质。立足现有加工产能，深挖技术改造潜力，联动科研院所开展技术攻关，提升产品标准化水平，巩固毛料加工增值成效。</w:t>
      </w:r>
    </w:p>
    <w:p w14:paraId="12F77D5F">
      <w:pPr>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3）拓展高附加值产业链条。立足水产育苗核心市场需求，积极开拓宠物饲料、功能原料等新兴应用赛道，推动产品由初级加工饵料向多元化高附加值生物原料转型。完善高原冷链物流配套设施，补齐仓储、运输短板，打通产品外运流通瓶颈，提升市场供应保障能力。</w:t>
      </w:r>
    </w:p>
    <w:p w14:paraId="3B9170AA">
      <w:pPr>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4）培育区域公共品牌强化富民效能。着力打造“极地海金沙”区域公共品牌，突出高海拔原生态品质优势，强化市场推介与产销对接。探索盐湖生态观光、卤虫科普研学等文旅融合新业态。健全产业利益联结机制，持续带动盐湖管护、规范捕捞、厂区务工群众稳定增收，培育本土产业技术人才，巩固拓展脱贫攻坚成果，助力乡村全面振兴。</w:t>
      </w:r>
    </w:p>
    <w:p w14:paraId="559C0AB7">
      <w:pPr>
        <w:spacing w:line="576" w:lineRule="exact"/>
        <w:ind w:firstLine="640" w:firstLineChars="200"/>
        <w:jc w:val="both"/>
        <w:outlineLvl w:val="2"/>
        <w:rPr>
          <w:rFonts w:hint="eastAsia" w:ascii="Times New Roman" w:hAnsi="Times New Roman" w:eastAsia="方正仿宋简体" w:cs="方正仿宋简体"/>
          <w:bCs/>
          <w:sz w:val="32"/>
          <w:szCs w:val="28"/>
          <w:lang w:eastAsia="zh-CN"/>
        </w:rPr>
      </w:pPr>
      <w:bookmarkStart w:id="506" w:name="_Toc243241588"/>
      <w:r>
        <w:rPr>
          <w:rFonts w:hint="eastAsia" w:ascii="Times New Roman" w:hAnsi="Times New Roman" w:eastAsia="方正仿宋简体" w:cs="方正仿宋简体"/>
          <w:bCs/>
          <w:sz w:val="32"/>
          <w:szCs w:val="28"/>
          <w:lang w:eastAsia="zh-CN"/>
        </w:rPr>
        <w:t>11</w:t>
      </w:r>
      <w:r>
        <w:rPr>
          <w:rFonts w:hint="eastAsia" w:ascii="Times New Roman" w:hAnsi="Times New Roman" w:eastAsia="方正仿宋简体" w:cs="方正仿宋简体"/>
          <w:bCs/>
          <w:sz w:val="32"/>
          <w:szCs w:val="28"/>
          <w:lang w:val="en-US" w:eastAsia="zh-CN"/>
        </w:rPr>
        <w:t>．</w:t>
      </w:r>
      <w:r>
        <w:rPr>
          <w:rFonts w:hint="eastAsia" w:ascii="Times New Roman" w:hAnsi="Times New Roman" w:eastAsia="方正仿宋简体" w:cs="方正仿宋简体"/>
          <w:bCs/>
          <w:sz w:val="32"/>
          <w:szCs w:val="28"/>
          <w:lang w:eastAsia="zh-CN"/>
        </w:rPr>
        <w:t>低空经济</w:t>
      </w:r>
      <w:bookmarkEnd w:id="506"/>
    </w:p>
    <w:p w14:paraId="5E53E9F7">
      <w:pPr>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那曲市低空经济立足高原地广人稀的现实条件，紧扣新兴战略产业培育定位，坚持试点先行、场景牵引、绿色安全、有序发展原则，未来将聚焦基建补短板、场景规模化、技术标准创制、产业融合赋能四大方向，构建高原特色低空应用服务体系，打造藏北高原低空经济应用示范中心。</w:t>
      </w:r>
    </w:p>
    <w:p w14:paraId="5443A09D">
      <w:pPr>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1）统筹低空基础设施网络建设。科学布局通用机场、分布式起降点，完善场站配套运维保障设施。搭建高原低空智能管控平台，依托北斗、5G+卫星通感一体化技术，补齐高原远距离通信监管短板，构建空天地一体化监管调度体系，筑牢低空运行安全底座。</w:t>
      </w:r>
    </w:p>
    <w:p w14:paraId="417598DA">
      <w:pPr>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2）推进示范场景规模化落地应用。优先做强生态巡护、边境管控、草原防火、灾害应急救援等政务刚需场景；稳步拓展高原低空物流、农牧产品投送等民生服务场景；有序开发空中观光、冰川研学航拍等文旅体验场景，形成“政务刚需为主、商业场景补充”的应用格局。用好航线奖励政策，培育常态化飞行作业航线。</w:t>
      </w:r>
    </w:p>
    <w:p w14:paraId="5775B9A9">
      <w:pPr>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3）攻关高原适配技术构建地方标准。发挥高海拔天然测试场优势，联合科研机构、航空企业开展高原无人机动力、低温储能、抗乱流飞控等技术攻关，迭代适配4500米以上海拔作业航空器。积累高原试飞实测数据，探索建立高原机型运行、设备运维、作业实施的地方技术标准体系。</w:t>
      </w:r>
    </w:p>
    <w:p w14:paraId="5A6079C2">
      <w:pPr>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val="en-US" w:eastAsia="zh-CN"/>
        </w:rPr>
        <w:t>（4）深化产业融合强化本土培育。大力发展“低空+畜牧、低空+文旅、低空+饮用水、低空+清洁能源、低空+交通物流”融合业态，赋能传统特色产业数字化升级。推广“公司+合作社+牧户”运营模式，培育无人机操控、场站运维、航空维保等本土技能人才，带动青年群众、返乡大学生就近就业，输出高原低空成套解决方案，提升区域产业竞争优势。</w:t>
      </w:r>
    </w:p>
    <w:p w14:paraId="422C00DC">
      <w:pPr>
        <w:spacing w:line="576" w:lineRule="exact"/>
        <w:ind w:firstLine="640" w:firstLineChars="200"/>
        <w:jc w:val="both"/>
        <w:outlineLvl w:val="2"/>
        <w:rPr>
          <w:rFonts w:hint="eastAsia" w:ascii="Times New Roman" w:hAnsi="Times New Roman" w:eastAsia="方正仿宋简体" w:cs="方正仿宋简体"/>
          <w:bCs/>
          <w:sz w:val="32"/>
          <w:szCs w:val="28"/>
          <w:lang w:eastAsia="zh-CN"/>
        </w:rPr>
      </w:pPr>
      <w:bookmarkStart w:id="507" w:name="_Toc243241589"/>
      <w:r>
        <w:rPr>
          <w:rFonts w:hint="eastAsia" w:ascii="Times New Roman" w:hAnsi="Times New Roman" w:eastAsia="方正仿宋简体" w:cs="方正仿宋简体"/>
          <w:bCs/>
          <w:sz w:val="32"/>
          <w:szCs w:val="28"/>
          <w:lang w:eastAsia="zh-CN"/>
        </w:rPr>
        <w:t>12</w:t>
      </w:r>
      <w:r>
        <w:rPr>
          <w:rFonts w:hint="eastAsia" w:ascii="Times New Roman" w:hAnsi="Times New Roman" w:eastAsia="方正仿宋简体" w:cs="方正仿宋简体"/>
          <w:bCs/>
          <w:sz w:val="32"/>
          <w:szCs w:val="28"/>
          <w:lang w:val="en-US" w:eastAsia="zh-CN"/>
        </w:rPr>
        <w:t>．算力</w:t>
      </w:r>
      <w:r>
        <w:rPr>
          <w:rFonts w:hint="eastAsia" w:ascii="Times New Roman" w:hAnsi="Times New Roman" w:eastAsia="方正仿宋简体" w:cs="方正仿宋简体"/>
          <w:bCs/>
          <w:sz w:val="32"/>
          <w:szCs w:val="28"/>
          <w:lang w:eastAsia="zh-CN"/>
        </w:rPr>
        <w:t>经济</w:t>
      </w:r>
      <w:bookmarkEnd w:id="507"/>
    </w:p>
    <w:p w14:paraId="2D29DBA7">
      <w:pPr>
        <w:spacing w:line="576" w:lineRule="exact"/>
        <w:ind w:firstLine="640" w:firstLineChars="200"/>
        <w:jc w:val="both"/>
        <w:rPr>
          <w:rFonts w:hint="eastAsia" w:ascii="Times New Roman" w:hAnsi="Times New Roman" w:eastAsia="方正仿宋简体" w:cs="方正仿宋简体"/>
          <w:bCs/>
          <w:sz w:val="32"/>
          <w:szCs w:val="28"/>
          <w:lang w:val="en-US"/>
        </w:rPr>
      </w:pPr>
      <w:r>
        <w:rPr>
          <w:rFonts w:hint="eastAsia" w:ascii="Times New Roman" w:hAnsi="Times New Roman" w:eastAsia="方正仿宋简体" w:cs="方正仿宋简体"/>
          <w:bCs/>
          <w:sz w:val="32"/>
          <w:szCs w:val="28"/>
          <w:lang w:val="en-US"/>
        </w:rPr>
        <w:t>那曲市算力经济立足高原天然冷源、全域清洁能源资源禀赋，对标西藏“算力珠峰”高质量发展建设要求，坚持差异化定位、特色化发展路径，未来将聚焦算网基础完善、绿色算力提质、数实深度融合、数字人才培育四大方向，建设全区特色边缘算力节点，培育数字经济全新增长引擎。</w:t>
      </w:r>
    </w:p>
    <w:p w14:paraId="39DC6671">
      <w:pPr>
        <w:spacing w:line="576" w:lineRule="exact"/>
        <w:ind w:firstLine="640" w:firstLineChars="200"/>
        <w:jc w:val="both"/>
        <w:rPr>
          <w:rFonts w:hint="eastAsia" w:ascii="Times New Roman" w:hAnsi="Times New Roman" w:eastAsia="方正仿宋简体" w:cs="方正仿宋简体"/>
          <w:bCs/>
          <w:sz w:val="32"/>
          <w:szCs w:val="28"/>
          <w:lang w:val="en-US"/>
        </w:rPr>
      </w:pPr>
      <w:r>
        <w:rPr>
          <w:rFonts w:hint="eastAsia" w:ascii="Times New Roman" w:hAnsi="Times New Roman" w:eastAsia="方正仿宋简体" w:cs="方正仿宋简体"/>
          <w:bCs/>
          <w:sz w:val="32"/>
          <w:szCs w:val="28"/>
          <w:lang w:val="en-US"/>
        </w:rPr>
        <w:t>（1）夯实算网一体化基础设施底座。持续完善5G、光缆等通信网络，打通跨区域算力高速直连传输通道。有序推进智算节点、数据分中心扩容建设，优化算力集群布局，统筹通用算力、智能算力、边缘算力协同部署，完善数据灾备、安全防护体系，全面融入全国一体化算力网络。</w:t>
      </w:r>
    </w:p>
    <w:p w14:paraId="5752CF8C">
      <w:pPr>
        <w:spacing w:line="576" w:lineRule="exact"/>
        <w:ind w:firstLine="640" w:firstLineChars="200"/>
        <w:jc w:val="both"/>
        <w:rPr>
          <w:rFonts w:hint="eastAsia" w:ascii="Times New Roman" w:hAnsi="Times New Roman" w:eastAsia="方正仿宋简体" w:cs="方正仿宋简体"/>
          <w:bCs/>
          <w:sz w:val="32"/>
          <w:szCs w:val="28"/>
          <w:lang w:val="en-US"/>
        </w:rPr>
      </w:pPr>
      <w:r>
        <w:rPr>
          <w:rFonts w:hint="eastAsia" w:ascii="Times New Roman" w:hAnsi="Times New Roman" w:eastAsia="方正仿宋简体" w:cs="方正仿宋简体"/>
          <w:bCs/>
          <w:sz w:val="32"/>
          <w:szCs w:val="28"/>
          <w:lang w:val="en-US"/>
        </w:rPr>
        <w:t>（2）推进绿色算力技术迭代优化。依托高原天然冷源优势，联合援藏科研力量攻关高原机房散热、设备低温防护、电气抗高海拔衰减等关键技术，</w:t>
      </w:r>
      <w:bookmarkStart w:id="508" w:name="OLE_LINK252"/>
      <w:r>
        <w:rPr>
          <w:rFonts w:hint="eastAsia" w:ascii="Times New Roman" w:hAnsi="Times New Roman" w:eastAsia="方正仿宋简体" w:cs="方正仿宋简体"/>
          <w:bCs/>
          <w:sz w:val="32"/>
          <w:szCs w:val="28"/>
          <w:lang w:val="en-US"/>
        </w:rPr>
        <w:t>持续优化数据中心PUE（Power</w:t>
      </w:r>
      <w:r>
        <w:rPr>
          <w:rFonts w:hint="eastAsia" w:ascii="Times New Roman" w:hAnsi="Times New Roman" w:eastAsia="方正仿宋简体" w:cs="方正仿宋简体"/>
          <w:bCs/>
          <w:sz w:val="32"/>
          <w:szCs w:val="28"/>
          <w:lang w:val="en-US" w:eastAsia="zh-CN"/>
        </w:rPr>
        <w:t xml:space="preserve"> </w:t>
      </w:r>
      <w:r>
        <w:rPr>
          <w:rFonts w:hint="eastAsia" w:ascii="Times New Roman" w:hAnsi="Times New Roman" w:eastAsia="方正仿宋简体" w:cs="方正仿宋简体"/>
          <w:bCs/>
          <w:sz w:val="32"/>
          <w:szCs w:val="28"/>
          <w:lang w:val="en-US"/>
        </w:rPr>
        <w:t>Usage Effectiveness）指标</w:t>
      </w:r>
      <w:bookmarkEnd w:id="508"/>
      <w:r>
        <w:rPr>
          <w:rFonts w:hint="eastAsia" w:ascii="Times New Roman" w:hAnsi="Times New Roman" w:eastAsia="方正仿宋简体" w:cs="方正仿宋简体"/>
          <w:bCs/>
          <w:sz w:val="32"/>
          <w:szCs w:val="28"/>
          <w:lang w:val="en-US"/>
        </w:rPr>
        <w:t>。健全“风光绿电+绿色算力”协同调度机制，推动绿电资源与算力负荷动态匹配，探索形成高原数据中心建设、运维、能耗管控地方技术标准。</w:t>
      </w:r>
    </w:p>
    <w:p w14:paraId="1EF1072D">
      <w:pPr>
        <w:spacing w:line="576" w:lineRule="exact"/>
        <w:ind w:firstLine="640" w:firstLineChars="200"/>
        <w:jc w:val="both"/>
        <w:rPr>
          <w:rFonts w:hint="eastAsia" w:ascii="Times New Roman" w:hAnsi="Times New Roman" w:eastAsia="方正仿宋简体" w:cs="方正仿宋简体"/>
          <w:bCs/>
          <w:sz w:val="32"/>
          <w:szCs w:val="28"/>
          <w:lang w:val="en-US"/>
        </w:rPr>
      </w:pPr>
      <w:r>
        <w:rPr>
          <w:rFonts w:hint="eastAsia" w:ascii="Times New Roman" w:hAnsi="Times New Roman" w:eastAsia="方正仿宋简体" w:cs="方正仿宋简体"/>
          <w:bCs/>
          <w:sz w:val="32"/>
          <w:szCs w:val="28"/>
          <w:lang w:val="en-US"/>
        </w:rPr>
        <w:t>（3）深化“算力+N”数实融合赋能。面向东部承接离线存储、灾备备份、AI模型训练等外溢算力业务；面向本地释放低时延边缘算力，支撑智慧牧业、低空智管、生态遥感、文旅数字化、矿区监测等产业数字化改造。拓展数据标注、行业数据分析、数字化解决方案等增值服务，推动从单纯算力资源输出向算力</w:t>
      </w:r>
      <w:r>
        <w:rPr>
          <w:rFonts w:hint="eastAsia" w:ascii="Times New Roman" w:hAnsi="Times New Roman" w:eastAsia="方正仿宋简体" w:cs="方正仿宋简体"/>
          <w:bCs/>
          <w:sz w:val="32"/>
          <w:szCs w:val="28"/>
          <w:lang w:val="en-US"/>
        </w:rPr>
        <w:noBreakHyphen/>
      </w:r>
      <w:r>
        <w:rPr>
          <w:rFonts w:hint="eastAsia" w:ascii="Times New Roman" w:hAnsi="Times New Roman" w:eastAsia="方正仿宋简体" w:cs="方正仿宋简体"/>
          <w:bCs/>
          <w:sz w:val="32"/>
          <w:szCs w:val="28"/>
          <w:lang w:val="en-US"/>
        </w:rPr>
        <w:t>数据</w:t>
      </w:r>
      <w:r>
        <w:rPr>
          <w:rFonts w:hint="eastAsia" w:ascii="Times New Roman" w:hAnsi="Times New Roman" w:eastAsia="方正仿宋简体" w:cs="方正仿宋简体"/>
          <w:bCs/>
          <w:sz w:val="32"/>
          <w:szCs w:val="28"/>
          <w:lang w:val="en-US"/>
        </w:rPr>
        <w:noBreakHyphen/>
      </w:r>
      <w:r>
        <w:rPr>
          <w:rFonts w:hint="eastAsia" w:ascii="Times New Roman" w:hAnsi="Times New Roman" w:eastAsia="方正仿宋简体" w:cs="方正仿宋简体"/>
          <w:bCs/>
          <w:sz w:val="32"/>
          <w:szCs w:val="28"/>
          <w:lang w:val="en-US"/>
        </w:rPr>
        <w:t>服务一体化供给转变。</w:t>
      </w:r>
    </w:p>
    <w:p w14:paraId="1FAD109B">
      <w:pPr>
        <w:spacing w:line="576" w:lineRule="exact"/>
        <w:ind w:firstLine="640" w:firstLineChars="200"/>
        <w:jc w:val="both"/>
        <w:rPr>
          <w:rFonts w:hint="eastAsia" w:ascii="Times New Roman" w:hAnsi="Times New Roman" w:eastAsia="方正仿宋简体" w:cs="方正仿宋简体"/>
          <w:bCs/>
          <w:sz w:val="32"/>
          <w:szCs w:val="28"/>
          <w:lang w:val="en-US"/>
        </w:rPr>
      </w:pPr>
      <w:r>
        <w:rPr>
          <w:rFonts w:hint="eastAsia" w:ascii="Times New Roman" w:hAnsi="Times New Roman" w:eastAsia="方正仿宋简体" w:cs="方正仿宋简体"/>
          <w:bCs/>
          <w:sz w:val="32"/>
          <w:szCs w:val="28"/>
          <w:lang w:val="en-US"/>
        </w:rPr>
        <w:t>（4）培育数字服务能力释放富民效益。坚持特色化发展，不盲目照搬内地大规模算力枢纽建设模式，严控能耗与建设规模。推广“算力平台+合作社+经营主体”下沉服务模式，依托援藏资源引进数字市场主体，培育机房运维、网络保障、数据加工等本土数字人才，吸纳本地青年、返乡大学生就业。对接东部算力采购市场，积极拓展对外算力服务，打造藏北高原特色边缘算力示范节点。</w:t>
      </w:r>
    </w:p>
    <w:p w14:paraId="4D62DA2F">
      <w:pPr>
        <w:spacing w:line="576" w:lineRule="exact"/>
        <w:ind w:firstLine="640" w:firstLineChars="200"/>
        <w:jc w:val="both"/>
        <w:rPr>
          <w:rFonts w:hint="eastAsia" w:ascii="Times New Roman" w:hAnsi="Times New Roman" w:eastAsia="方正仿宋简体" w:cs="方正仿宋简体"/>
          <w:bCs/>
          <w:sz w:val="32"/>
          <w:szCs w:val="28"/>
          <w:lang w:eastAsia="zh-CN"/>
        </w:rPr>
      </w:pPr>
      <w:r>
        <w:rPr>
          <w:rFonts w:hint="eastAsia" w:ascii="Times New Roman" w:hAnsi="Times New Roman" w:eastAsia="方正仿宋简体" w:cs="方正仿宋简体"/>
          <w:bCs/>
          <w:sz w:val="32"/>
          <w:szCs w:val="28"/>
          <w:lang w:val="en-US" w:eastAsia="zh-CN"/>
        </w:rPr>
        <w:t>综上，那曲市高原特</w:t>
      </w:r>
      <w:r>
        <w:rPr>
          <w:rFonts w:hint="eastAsia" w:ascii="Times New Roman" w:hAnsi="Times New Roman" w:eastAsia="方正仿宋简体" w:cs="方正仿宋简体"/>
          <w:bCs/>
          <w:sz w:val="32"/>
          <w:szCs w:val="28"/>
          <w:lang w:eastAsia="zh-CN"/>
        </w:rPr>
        <w:t>色种植业将始终坚持生态友好、科技驱动、产业融合、品牌引领的发展路径，持续夯实产业发展基础、补齐产业链短板、释放富民增收效能，打造高原生态保护与乡村产业振兴协同发展的标杆性支柱产业。</w:t>
      </w:r>
    </w:p>
    <w:p w14:paraId="645908AD">
      <w:pPr>
        <w:pStyle w:val="8"/>
        <w:overflowPunct w:val="0"/>
        <w:topLinePunct/>
        <w:autoSpaceDE/>
        <w:autoSpaceDN/>
        <w:spacing w:before="0" w:line="576" w:lineRule="exact"/>
        <w:ind w:left="0" w:firstLine="640" w:firstLineChars="200"/>
        <w:jc w:val="both"/>
        <w:outlineLvl w:val="0"/>
        <w:rPr>
          <w:rFonts w:ascii="Times New Roman" w:hAnsi="Times New Roman" w:eastAsia="方正黑体简体" w:cs="方正黑体简体"/>
          <w:sz w:val="32"/>
          <w:szCs w:val="32"/>
          <w:lang w:val="en-US" w:eastAsia="zh-CN"/>
        </w:rPr>
      </w:pPr>
      <w:bookmarkStart w:id="509" w:name="_Toc243241590"/>
      <w:bookmarkStart w:id="510" w:name="OLE_LINK163"/>
      <w:r>
        <w:rPr>
          <w:rFonts w:hint="eastAsia" w:ascii="Times New Roman" w:hAnsi="Times New Roman" w:eastAsia="方正黑体简体" w:cs="方正黑体简体"/>
          <w:sz w:val="32"/>
          <w:szCs w:val="32"/>
          <w:lang w:val="en-US" w:eastAsia="zh-CN"/>
        </w:rPr>
        <w:t>四、特色产业发展展望</w:t>
      </w:r>
      <w:bookmarkEnd w:id="509"/>
      <w:bookmarkStart w:id="511" w:name="_Toc218422306"/>
    </w:p>
    <w:bookmarkEnd w:id="511"/>
    <w:p w14:paraId="46AEB940">
      <w:pPr>
        <w:pStyle w:val="27"/>
        <w:spacing w:line="576" w:lineRule="exact"/>
        <w:ind w:firstLine="640" w:firstLineChars="200"/>
        <w:jc w:val="both"/>
        <w:outlineLvl w:val="1"/>
        <w:rPr>
          <w:rFonts w:ascii="Times New Roman" w:hAnsi="Times New Roman" w:eastAsia="方正楷体简体" w:cs="方正楷体简体"/>
          <w:bCs/>
          <w:sz w:val="32"/>
          <w:szCs w:val="32"/>
          <w:lang w:val="en-US" w:eastAsia="zh-CN"/>
        </w:rPr>
      </w:pPr>
      <w:bookmarkStart w:id="512" w:name="_Toc243241591"/>
      <w:r>
        <w:rPr>
          <w:rFonts w:hint="eastAsia" w:ascii="Times New Roman" w:hAnsi="Times New Roman" w:eastAsia="方正楷体简体" w:cs="方正楷体简体"/>
          <w:bCs/>
          <w:sz w:val="32"/>
          <w:szCs w:val="32"/>
          <w:lang w:val="en-US" w:eastAsia="zh-CN"/>
        </w:rPr>
        <w:t>（</w:t>
      </w:r>
      <w:r>
        <w:rPr>
          <w:rFonts w:ascii="Times New Roman" w:hAnsi="Times New Roman" w:eastAsia="方正楷体简体" w:cs="方正楷体简体"/>
          <w:bCs/>
          <w:sz w:val="32"/>
          <w:szCs w:val="32"/>
          <w:lang w:val="en-US" w:eastAsia="zh-CN"/>
        </w:rPr>
        <w:t>一）产业发展迈向高质量融合进阶新阶段</w:t>
      </w:r>
      <w:bookmarkEnd w:id="512"/>
    </w:p>
    <w:p w14:paraId="3805B560">
      <w:pPr>
        <w:spacing w:line="576" w:lineRule="exact"/>
        <w:ind w:firstLine="640" w:firstLineChars="200"/>
        <w:jc w:val="both"/>
        <w:rPr>
          <w:rFonts w:hint="eastAsia" w:ascii="Times New Roman" w:hAnsi="Times New Roman" w:eastAsia="方正仿宋简体" w:cs="方正仿宋简体"/>
          <w:bCs/>
          <w:sz w:val="32"/>
          <w:szCs w:val="28"/>
          <w:lang w:eastAsia="zh-CN"/>
        </w:rPr>
      </w:pPr>
      <w:r>
        <w:rPr>
          <w:rFonts w:hint="eastAsia" w:ascii="Times New Roman" w:hAnsi="Times New Roman" w:eastAsia="方正仿宋简体" w:cs="方正仿宋简体"/>
          <w:bCs/>
          <w:sz w:val="32"/>
          <w:szCs w:val="28"/>
          <w:lang w:val="en-US" w:eastAsia="zh-CN"/>
        </w:rPr>
        <w:t>未</w:t>
      </w:r>
      <w:r>
        <w:rPr>
          <w:rFonts w:hint="eastAsia" w:ascii="Times New Roman" w:hAnsi="Times New Roman" w:eastAsia="方正仿宋简体" w:cs="方正仿宋简体"/>
          <w:bCs/>
          <w:sz w:val="32"/>
          <w:szCs w:val="28"/>
          <w:lang w:eastAsia="zh-CN"/>
        </w:rPr>
        <w:t>来，那曲市特色产业发展将始终坚守“生态优先、绿色转型、创新赋能、协同提质”的总体发展导向，立足高原资源禀赋与生态功能定位，持续推动传统产业迭代升级、业态模式重构优化、价值层级梯次跃升，加快构建结构合理、业态多元、链条完整、生态适配的现代化高原特色产业体系。传统基础产业稳步提质转型，高原畜牧业持续摒弃粗放式散养、重规模轻质量的发展模式，健全“标准化养殖、精细化加工、品牌化运营、市场化营销”全链条体系，推动产业由数量规模型向质量效益型、品牌增值型转变；藏医药产业突破单一原料供给的低端发展格局，依托本土优质藏药材资源基底，强化科研创新与工艺改良，延伸精深加工、康养服务、文化体验产业链条，实现“资源原料—创新加工—多元融合”的全方位能级提升。优势支柱产业持续扩容赋能，生态文旅产业立足高原独有的生态资源与羌塘人文资源，补齐四季均衡发展短板，丰富全时段、沉浸式、场景化文旅产品供给，持续擦亮“极地那曲”区域文旅品牌，放大特色IP辐射带动效应。特色富民产业稳步增效升级，依托数字技术、创意设计、标准重塑，推动民族编织、藏式皮具、传统制陶等非遗手工业转型升级，破解生产零散、创意不足、渠道单一等问题，拓宽市场化、品牌化发展路径。新兴战略产业加速成势成型，紧扣“国家清洁能源贡献地”建设目标，有序推进风光储氢一体化项目布局，完善多能互补基地与电力外送配套体系，持续壮大绿色能源产业规模，推动清洁能源逐步成长为市域经济绿色转型的战略性支柱产业。同时，持续深化一二三产跨界融合迭代，优化升级农文旅、牧光互补、藏医药+康养等复合型业态，构建多业态联动、多元化共生的产业发展新生态，持续激活特色产业高质量发展内生动力。</w:t>
      </w:r>
    </w:p>
    <w:p w14:paraId="4E0BF7A5">
      <w:pPr>
        <w:pStyle w:val="27"/>
        <w:spacing w:line="576" w:lineRule="exact"/>
        <w:ind w:firstLine="640" w:firstLineChars="200"/>
        <w:jc w:val="both"/>
        <w:outlineLvl w:val="1"/>
        <w:rPr>
          <w:rFonts w:ascii="Times New Roman" w:hAnsi="Times New Roman" w:eastAsia="方正楷体简体" w:cs="方正楷体简体"/>
          <w:bCs/>
          <w:sz w:val="32"/>
          <w:szCs w:val="32"/>
          <w:lang w:val="en-US" w:eastAsia="zh-CN"/>
        </w:rPr>
      </w:pPr>
      <w:bookmarkStart w:id="513" w:name="_Toc243241592"/>
      <w:r>
        <w:rPr>
          <w:rFonts w:ascii="Times New Roman" w:hAnsi="Times New Roman" w:eastAsia="方正楷体简体" w:cs="方正楷体简体"/>
          <w:bCs/>
          <w:sz w:val="32"/>
          <w:szCs w:val="32"/>
          <w:lang w:val="en-US" w:eastAsia="zh-CN"/>
        </w:rPr>
        <w:t>（二）生态民生耦合实现协同共赢发展新突破</w:t>
      </w:r>
      <w:bookmarkEnd w:id="513"/>
    </w:p>
    <w:p w14:paraId="3C2851A1">
      <w:pPr>
        <w:spacing w:line="576" w:lineRule="exact"/>
        <w:ind w:firstLine="640" w:firstLineChars="200"/>
        <w:jc w:val="both"/>
        <w:rPr>
          <w:rFonts w:ascii="Times New Roman" w:hAnsi="Times New Roman" w:eastAsia="方正仿宋简体" w:cs="方正仿宋简体"/>
          <w:bCs/>
          <w:sz w:val="32"/>
          <w:szCs w:val="28"/>
          <w:lang w:eastAsia="zh-CN"/>
        </w:rPr>
      </w:pPr>
      <w:r>
        <w:rPr>
          <w:rFonts w:ascii="Times New Roman" w:hAnsi="Times New Roman" w:eastAsia="方正仿宋简体" w:cs="方正仿宋简体"/>
          <w:bCs/>
          <w:sz w:val="32"/>
          <w:szCs w:val="28"/>
          <w:lang w:eastAsia="zh-CN"/>
        </w:rPr>
        <w:t>那曲市始终坚守青藏高原生态安全屏障核心功能定位，牢固树立绿水青山就是金山银山的发展理念，持续健全生态保护、资源开发、产业发展良性互动机制，稳步推动高原生态资源优势有序转化为产业经济优势、长效发展优势。严格落实青藏高原生态保护相关法律法规与管控要求，以绿色低碳发展导向倒逼各产业生产模式、开发模式转型升级，持续探索草原碳汇、生态补偿、绿色核算等市场化价值转化路径，实现生态保护刚性约束、产业绿色转型、资源价值增值的有机统一，推动生态效益、经济效益、社会效益协同提升。始终锚定乡村全面振兴与农牧民稳定增收核心目标，持续优化完善“龙头企业+合作社+农牧户”等紧密型利益联结机制，健全产业分红、就近务工、土地流转、技能就业等多元增收渠道，持续开发本土化、适配性强的乡村就业岗位，推动农牧民深度嵌入特色产业发展全链条、价值链。未来3—5年，随着全市特色产业体系持续完善、富民业态不断丰富、联农带农机制更加健全，将进一步稳固农牧民长效稳定增收格局，持续巩固拓展脱贫攻坚成果，稳步推进乡村产业、人才、文化、生态、组织全方位振兴，为那曲共同富裕建设筑牢坚实产业支撑。</w:t>
      </w:r>
    </w:p>
    <w:p w14:paraId="71D05B69">
      <w:pPr>
        <w:pStyle w:val="27"/>
        <w:spacing w:line="576" w:lineRule="exact"/>
        <w:ind w:firstLine="640" w:firstLineChars="200"/>
        <w:jc w:val="both"/>
        <w:outlineLvl w:val="1"/>
        <w:rPr>
          <w:rFonts w:ascii="Times New Roman" w:hAnsi="Times New Roman" w:eastAsia="方正楷体简体" w:cs="方正楷体简体"/>
          <w:bCs/>
          <w:sz w:val="32"/>
          <w:szCs w:val="32"/>
          <w:lang w:val="en-US" w:eastAsia="zh-CN"/>
        </w:rPr>
      </w:pPr>
      <w:bookmarkStart w:id="514" w:name="_Toc243241593"/>
      <w:r>
        <w:rPr>
          <w:rFonts w:ascii="Times New Roman" w:hAnsi="Times New Roman" w:eastAsia="方正楷体简体" w:cs="方正楷体简体"/>
          <w:bCs/>
          <w:sz w:val="32"/>
          <w:szCs w:val="32"/>
          <w:lang w:val="en-US" w:eastAsia="zh-CN"/>
        </w:rPr>
        <w:t>（三）开放协同构建联动发展全新格局</w:t>
      </w:r>
      <w:bookmarkEnd w:id="514"/>
    </w:p>
    <w:bookmarkEnd w:id="482"/>
    <w:bookmarkEnd w:id="483"/>
    <w:bookmarkEnd w:id="510"/>
    <w:p w14:paraId="614FC7C0">
      <w:pPr>
        <w:spacing w:line="576" w:lineRule="exact"/>
        <w:ind w:firstLine="640" w:firstLineChars="200"/>
        <w:jc w:val="both"/>
        <w:rPr>
          <w:rFonts w:ascii="Times New Roman" w:hAnsi="Times New Roman" w:eastAsia="方正仿宋简体" w:cs="方正仿宋简体"/>
          <w:bCs/>
          <w:sz w:val="32"/>
          <w:szCs w:val="28"/>
          <w:lang w:eastAsia="zh-CN"/>
        </w:rPr>
      </w:pPr>
      <w:bookmarkStart w:id="515" w:name="_Toc218422293"/>
      <w:r>
        <w:rPr>
          <w:rFonts w:ascii="Times New Roman" w:hAnsi="Times New Roman" w:eastAsia="方正仿宋简体" w:cs="方正仿宋简体"/>
          <w:bCs/>
          <w:sz w:val="32"/>
          <w:szCs w:val="28"/>
          <w:lang w:eastAsia="zh-CN"/>
        </w:rPr>
        <w:t>那曲市立足青藏生态经济走廊建设战略机遇，依托新时代对口援藏协作机制迭代升级契机，持续打破区域要素流通、产业协作、市场共享的行政壁垒，全方位构建内外联动、区域协同、资源互通、开放共享的产业发展新格局。深化与周边高海拔地区的跨区域产业协作，在高原特色产业标准共建、文旅线路共推、特色产品市场互通、清洁能源跨区外送、优势资源协同开发等领域开展务实合作，形成区域互补、抱团发展、互利共赢的产业协同态势。依托全市综合交通、数字基建跨越式升级成果，持续畅通特色农牧产品、手工艺品、藏药产品内外流通渠道，持续做强“极地那曲”</w:t>
      </w:r>
      <w:r>
        <w:rPr>
          <w:rFonts w:hint="eastAsia" w:ascii="Times New Roman" w:hAnsi="Times New Roman" w:eastAsia="方正仿宋简体" w:cs="方正仿宋简体"/>
          <w:bCs/>
          <w:sz w:val="32"/>
          <w:szCs w:val="28"/>
          <w:lang w:eastAsia="zh-CN"/>
        </w:rPr>
        <w:t>区域</w:t>
      </w:r>
      <w:r>
        <w:rPr>
          <w:rFonts w:ascii="Times New Roman" w:hAnsi="Times New Roman" w:eastAsia="方正仿宋简体" w:cs="方正仿宋简体"/>
          <w:bCs/>
          <w:sz w:val="32"/>
          <w:szCs w:val="28"/>
          <w:lang w:eastAsia="zh-CN"/>
        </w:rPr>
        <w:t>公共品牌，推动那曲牦牛、高原藏药、羌塘文创等特色产品走出</w:t>
      </w:r>
      <w:r>
        <w:rPr>
          <w:rFonts w:hint="eastAsia" w:ascii="Times New Roman" w:hAnsi="Times New Roman" w:eastAsia="方正仿宋简体" w:cs="方正仿宋简体"/>
          <w:bCs/>
          <w:sz w:val="32"/>
          <w:szCs w:val="28"/>
          <w:lang w:eastAsia="zh-CN"/>
        </w:rPr>
        <w:t>藏北</w:t>
      </w:r>
      <w:r>
        <w:rPr>
          <w:rFonts w:ascii="Times New Roman" w:hAnsi="Times New Roman" w:eastAsia="方正仿宋简体" w:cs="方正仿宋简体"/>
          <w:bCs/>
          <w:sz w:val="32"/>
          <w:szCs w:val="28"/>
          <w:lang w:eastAsia="zh-CN"/>
        </w:rPr>
        <w:t>、辐射全国，全面提升那曲特色产业的市场辨识度、品牌影响力与核心竞争力。长远来看，全市将持续深耕生态绿色、特色优质、集约高效的高原产业发展路径，全力打造青藏高原生态产业示范高地、极地生态文旅优质目的地、藏北清洁能源绿色输出基地，探索走出一条契合那曲资源禀赋、彰显高原生态特色、适配民族区域发展实际的高质量绿色发展新路。</w:t>
      </w:r>
    </w:p>
    <w:p w14:paraId="4CAEED49">
      <w:pPr>
        <w:pStyle w:val="27"/>
        <w:tabs>
          <w:tab w:val="left" w:pos="1248"/>
        </w:tabs>
        <w:topLinePunct/>
        <w:autoSpaceDE/>
        <w:autoSpaceDN/>
        <w:spacing w:line="576" w:lineRule="exact"/>
        <w:jc w:val="center"/>
        <w:outlineLvl w:val="0"/>
        <w:rPr>
          <w:rFonts w:ascii="Times New Roman" w:hAnsi="Times New Roman" w:eastAsia="方正小标宋简体" w:cs="方正小标宋简体"/>
          <w:bCs/>
          <w:spacing w:val="-2"/>
          <w:sz w:val="44"/>
          <w:szCs w:val="36"/>
          <w:lang w:val="en-US" w:eastAsia="zh-CN"/>
        </w:rPr>
        <w:sectPr>
          <w:pgSz w:w="11906" w:h="16838"/>
          <w:pgMar w:top="2098" w:right="1474" w:bottom="1984" w:left="1587" w:header="851" w:footer="992" w:gutter="0"/>
          <w:pgNumType w:fmt="decimal"/>
          <w:cols w:space="425" w:num="1"/>
          <w:docGrid w:type="lines" w:linePitch="312" w:charSpace="0"/>
        </w:sectPr>
      </w:pPr>
    </w:p>
    <w:p w14:paraId="6DD1EFDE">
      <w:pPr>
        <w:pStyle w:val="27"/>
        <w:tabs>
          <w:tab w:val="left" w:pos="1248"/>
        </w:tabs>
        <w:topLinePunct/>
        <w:autoSpaceDE/>
        <w:autoSpaceDN/>
        <w:spacing w:line="576" w:lineRule="exact"/>
        <w:jc w:val="center"/>
        <w:outlineLvl w:val="0"/>
        <w:rPr>
          <w:rFonts w:ascii="Times New Roman" w:hAnsi="Times New Roman" w:eastAsia="方正小标宋简体" w:cs="方正小标宋简体"/>
          <w:b/>
          <w:spacing w:val="-2"/>
          <w:sz w:val="44"/>
          <w:szCs w:val="36"/>
        </w:rPr>
      </w:pPr>
      <w:bookmarkStart w:id="516" w:name="_Toc243241594"/>
      <w:bookmarkStart w:id="517" w:name="OLE_LINK260"/>
      <w:r>
        <w:rPr>
          <w:rFonts w:hint="eastAsia" w:ascii="Times New Roman" w:hAnsi="Times New Roman" w:eastAsia="方正小标宋简体" w:cs="方正小标宋简体"/>
          <w:b/>
          <w:spacing w:val="-2"/>
          <w:sz w:val="44"/>
          <w:szCs w:val="36"/>
          <w:lang w:val="en-US" w:eastAsia="zh-CN"/>
        </w:rPr>
        <w:t xml:space="preserve">第七章 </w:t>
      </w:r>
      <w:r>
        <w:rPr>
          <w:rFonts w:hint="eastAsia" w:ascii="Times New Roman" w:hAnsi="Times New Roman" w:eastAsia="方正小标宋简体" w:cs="方正仿宋简体"/>
          <w:b/>
          <w:spacing w:val="-2"/>
          <w:sz w:val="44"/>
          <w:szCs w:val="44"/>
          <w:lang w:val="en-US" w:eastAsia="zh-CN"/>
        </w:rPr>
        <w:t>那曲市特色产业发展的对策与建议</w:t>
      </w:r>
      <w:bookmarkEnd w:id="515"/>
      <w:bookmarkEnd w:id="516"/>
    </w:p>
    <w:bookmarkEnd w:id="517"/>
    <w:p w14:paraId="29EC1C7F">
      <w:pPr>
        <w:spacing w:line="576" w:lineRule="exact"/>
        <w:ind w:firstLine="640" w:firstLineChars="200"/>
        <w:jc w:val="both"/>
        <w:rPr>
          <w:rFonts w:ascii="Times New Roman" w:hAnsi="Times New Roman" w:eastAsia="方正黑体简体" w:cs="方正黑体简体"/>
          <w:sz w:val="32"/>
          <w:szCs w:val="32"/>
          <w:lang w:val="en-US" w:eastAsia="zh-CN"/>
        </w:rPr>
      </w:pPr>
      <w:bookmarkStart w:id="518" w:name="_Toc218422294"/>
    </w:p>
    <w:p w14:paraId="620E0FEC">
      <w:pPr>
        <w:spacing w:line="576" w:lineRule="exact"/>
        <w:ind w:firstLine="640" w:firstLineChars="200"/>
        <w:jc w:val="both"/>
        <w:rPr>
          <w:rFonts w:hint="eastAsia" w:ascii="方正仿宋简体" w:hAnsi="方正仿宋简体" w:eastAsia="方正仿宋简体" w:cs="方正仿宋简体"/>
          <w:bCs/>
          <w:sz w:val="32"/>
          <w:szCs w:val="32"/>
          <w:lang w:val="en-US" w:eastAsia="zh-CN"/>
        </w:rPr>
      </w:pPr>
      <w:r>
        <w:rPr>
          <w:rFonts w:ascii="方正仿宋简体" w:hAnsi="方正仿宋简体" w:eastAsia="方正仿宋简体" w:cs="方正仿宋简体"/>
          <w:bCs/>
          <w:sz w:val="32"/>
          <w:szCs w:val="32"/>
          <w:lang w:val="en-US"/>
        </w:rPr>
        <w:t>综合那曲市特色产业发展面临的内部瓶颈与外部压力，立足高原生态功能定位、资源禀赋特质和区域发展态势，紧扣高质量发展核心主题，坚持问题导向、目标导向、结果导向相统一，聚焦产业结构不优、要素供给不足、协同发展不够、生态约束趋紧、竞争能力偏弱等突出问题，统筹生态保护与产业发展、转型升级与民生增收、内生培育与外部赋能，从政府顶层统筹、企业主体赋能、细分产业精准提质三个维度，系统构建全方位、多层次、可落地的发展对策体系，靶向破解产业发展堵点难点、补齐发展短板、激活发展动能，推动那曲市特色产业加快实现绿色转型、提质增效、融合升级，奋力走出一条生态优美、产业兴旺、民生富裕的高原特色现代化产业发展之路。</w:t>
      </w:r>
    </w:p>
    <w:p w14:paraId="5085BE21">
      <w:pPr>
        <w:pStyle w:val="8"/>
        <w:overflowPunct w:val="0"/>
        <w:topLinePunct/>
        <w:autoSpaceDE/>
        <w:autoSpaceDN/>
        <w:spacing w:before="0" w:line="576" w:lineRule="exact"/>
        <w:ind w:left="0" w:firstLine="640" w:firstLineChars="200"/>
        <w:jc w:val="both"/>
        <w:outlineLvl w:val="0"/>
        <w:rPr>
          <w:rFonts w:ascii="Times New Roman" w:hAnsi="Times New Roman" w:eastAsia="方正黑体简体" w:cs="方正黑体简体"/>
          <w:sz w:val="32"/>
          <w:szCs w:val="32"/>
          <w:lang w:val="en-US" w:eastAsia="zh-CN"/>
        </w:rPr>
      </w:pPr>
      <w:bookmarkStart w:id="519" w:name="_Toc243241595"/>
      <w:r>
        <w:rPr>
          <w:rFonts w:ascii="Times New Roman" w:hAnsi="Times New Roman" w:eastAsia="方正黑体简体" w:cs="方正黑体简体"/>
          <w:sz w:val="32"/>
          <w:szCs w:val="32"/>
          <w:lang w:val="en-US" w:eastAsia="zh-CN"/>
        </w:rPr>
        <w:t>一、构建</w:t>
      </w:r>
      <w:r>
        <w:rPr>
          <w:rFonts w:hint="eastAsia" w:ascii="Times New Roman" w:hAnsi="Times New Roman" w:eastAsia="方正黑体简体" w:cs="方正黑体简体"/>
          <w:sz w:val="32"/>
          <w:szCs w:val="32"/>
          <w:lang w:val="en-US" w:eastAsia="zh-CN"/>
        </w:rPr>
        <w:t>合理</w:t>
      </w:r>
      <w:r>
        <w:rPr>
          <w:rFonts w:ascii="Times New Roman" w:hAnsi="Times New Roman" w:eastAsia="方正黑体简体" w:cs="方正黑体简体"/>
          <w:sz w:val="32"/>
          <w:szCs w:val="32"/>
          <w:lang w:val="en-US" w:eastAsia="zh-CN"/>
        </w:rPr>
        <w:t>的</w:t>
      </w:r>
      <w:r>
        <w:rPr>
          <w:rFonts w:hint="eastAsia" w:ascii="Times New Roman" w:hAnsi="Times New Roman" w:eastAsia="方正黑体简体" w:cs="方正黑体简体"/>
          <w:sz w:val="32"/>
          <w:szCs w:val="32"/>
          <w:lang w:val="en-US" w:eastAsia="zh-CN"/>
        </w:rPr>
        <w:t>区域产</w:t>
      </w:r>
      <w:r>
        <w:rPr>
          <w:rFonts w:ascii="Times New Roman" w:hAnsi="Times New Roman" w:eastAsia="方正黑体简体" w:cs="方正黑体简体"/>
          <w:sz w:val="32"/>
          <w:szCs w:val="32"/>
          <w:lang w:val="en-US" w:eastAsia="zh-CN"/>
        </w:rPr>
        <w:t>业布局体系</w:t>
      </w:r>
      <w:bookmarkEnd w:id="519"/>
    </w:p>
    <w:p w14:paraId="35DBD952">
      <w:pPr>
        <w:pStyle w:val="27"/>
        <w:spacing w:line="576" w:lineRule="exact"/>
        <w:ind w:firstLine="640" w:firstLineChars="200"/>
        <w:jc w:val="both"/>
        <w:outlineLvl w:val="1"/>
        <w:rPr>
          <w:rFonts w:ascii="Times New Roman" w:hAnsi="Times New Roman" w:eastAsia="方正楷体简体" w:cs="方正楷体简体"/>
          <w:bCs/>
          <w:sz w:val="32"/>
          <w:szCs w:val="32"/>
          <w:lang w:val="en-US" w:eastAsia="zh-CN"/>
        </w:rPr>
      </w:pPr>
      <w:bookmarkStart w:id="520" w:name="_Toc243241596"/>
      <w:r>
        <w:rPr>
          <w:rFonts w:hint="eastAsia" w:ascii="Times New Roman" w:hAnsi="Times New Roman" w:eastAsia="方正楷体简体" w:cs="方正楷体简体"/>
          <w:bCs/>
          <w:sz w:val="32"/>
          <w:szCs w:val="32"/>
          <w:lang w:val="en-US" w:eastAsia="zh-CN"/>
        </w:rPr>
        <w:t>（</w:t>
      </w:r>
      <w:r>
        <w:rPr>
          <w:rFonts w:ascii="Times New Roman" w:hAnsi="Times New Roman" w:eastAsia="方正楷体简体" w:cs="方正楷体简体"/>
          <w:bCs/>
          <w:sz w:val="32"/>
          <w:szCs w:val="32"/>
          <w:lang w:val="en-US" w:eastAsia="zh-CN"/>
        </w:rPr>
        <w:t>一</w:t>
      </w:r>
      <w:r>
        <w:rPr>
          <w:rFonts w:hint="eastAsia" w:ascii="Times New Roman" w:hAnsi="Times New Roman" w:eastAsia="方正楷体简体" w:cs="方正楷体简体"/>
          <w:bCs/>
          <w:sz w:val="32"/>
          <w:szCs w:val="32"/>
          <w:lang w:val="en-US" w:eastAsia="zh-CN"/>
        </w:rPr>
        <w:t>）</w:t>
      </w:r>
      <w:r>
        <w:rPr>
          <w:rFonts w:ascii="Times New Roman" w:hAnsi="Times New Roman" w:eastAsia="方正楷体简体" w:cs="方正楷体简体"/>
          <w:bCs/>
          <w:sz w:val="32"/>
          <w:szCs w:val="32"/>
          <w:lang w:val="en-US" w:eastAsia="zh-CN"/>
        </w:rPr>
        <w:t>总体布局总则</w:t>
      </w:r>
      <w:bookmarkEnd w:id="520"/>
    </w:p>
    <w:p w14:paraId="4E2CF6C1">
      <w:pPr>
        <w:spacing w:line="576" w:lineRule="exact"/>
        <w:ind w:firstLine="640" w:firstLineChars="200"/>
        <w:jc w:val="both"/>
        <w:rPr>
          <w:rFonts w:hint="eastAsia" w:ascii="方正仿宋简体" w:hAnsi="方正仿宋简体" w:eastAsia="方正仿宋简体" w:cs="方正仿宋简体"/>
          <w:bCs/>
          <w:sz w:val="32"/>
          <w:szCs w:val="32"/>
          <w:lang w:val="en-US" w:eastAsia="zh-CN"/>
        </w:rPr>
      </w:pPr>
      <w:r>
        <w:rPr>
          <w:rFonts w:ascii="方正仿宋简体" w:hAnsi="方正仿宋简体" w:eastAsia="方正仿宋简体" w:cs="方正仿宋简体"/>
          <w:bCs/>
          <w:sz w:val="32"/>
          <w:szCs w:val="32"/>
          <w:lang w:val="en-US" w:eastAsia="zh-CN"/>
        </w:rPr>
        <w:t>依据</w:t>
      </w:r>
      <w:bookmarkStart w:id="521" w:name="OLE_LINK175"/>
      <w:r>
        <w:rPr>
          <w:rFonts w:ascii="方正仿宋简体" w:hAnsi="方正仿宋简体" w:eastAsia="方正仿宋简体" w:cs="方正仿宋简体"/>
          <w:bCs/>
          <w:sz w:val="32"/>
          <w:szCs w:val="32"/>
          <w:lang w:val="en-US" w:eastAsia="zh-CN"/>
        </w:rPr>
        <w:t>《那曲市国民经济和社会发展第十五个五年规划纲要》</w:t>
      </w:r>
      <w:bookmarkEnd w:id="521"/>
      <w:r>
        <w:rPr>
          <w:rFonts w:ascii="方正仿宋简体" w:hAnsi="方正仿宋简体" w:eastAsia="方正仿宋简体" w:cs="方正仿宋简体"/>
          <w:bCs/>
          <w:sz w:val="32"/>
          <w:szCs w:val="32"/>
          <w:lang w:val="en-US" w:eastAsia="zh-CN"/>
        </w:rPr>
        <w:t>，全市特色产业发展全面对标</w:t>
      </w:r>
      <w:bookmarkStart w:id="522" w:name="OLE_LINK182"/>
      <w:r>
        <w:rPr>
          <w:rFonts w:ascii="方正仿宋简体" w:hAnsi="方正仿宋简体" w:eastAsia="方正仿宋简体" w:cs="方正仿宋简体"/>
          <w:sz w:val="32"/>
          <w:szCs w:val="32"/>
          <w:lang w:val="en-US" w:eastAsia="zh-CN"/>
        </w:rPr>
        <w:t>“三区四端五纵六横多点”</w:t>
      </w:r>
      <w:bookmarkEnd w:id="522"/>
      <w:r>
        <w:rPr>
          <w:rFonts w:ascii="方正仿宋简体" w:hAnsi="方正仿宋简体" w:eastAsia="方正仿宋简体" w:cs="方正仿宋简体"/>
          <w:sz w:val="32"/>
          <w:szCs w:val="32"/>
          <w:lang w:val="en-US" w:eastAsia="zh-CN"/>
        </w:rPr>
        <w:t>那曲</w:t>
      </w:r>
      <w:r>
        <w:rPr>
          <w:rFonts w:ascii="方正仿宋简体" w:hAnsi="方正仿宋简体" w:eastAsia="方正仿宋简体" w:cs="方正仿宋简体"/>
          <w:bCs/>
          <w:sz w:val="32"/>
          <w:szCs w:val="32"/>
          <w:lang w:val="en-US" w:eastAsia="zh-CN"/>
        </w:rPr>
        <w:t>区域经济布局，坚守生态优先、绿色发展、错位布局、集聚增效核心原则。以优化空间格局为牵引，统筹产业布局、要素集聚与项目落地，通过片区定赛道、门户通内外、通道聚产业、节点强承载，构建“空间赋能产业、产业支撑发展”的闭环体系，有效规避产业同质化、布局碎片化问题，推动全市特色产业差异化、集群化、高质量发展。</w:t>
      </w:r>
    </w:p>
    <w:p w14:paraId="2E032D65">
      <w:pPr>
        <w:pStyle w:val="27"/>
        <w:spacing w:line="576" w:lineRule="exact"/>
        <w:ind w:firstLine="640" w:firstLineChars="200"/>
        <w:jc w:val="both"/>
        <w:outlineLvl w:val="1"/>
        <w:rPr>
          <w:rFonts w:hint="eastAsia" w:ascii="方正仿宋简体" w:hAnsi="方正仿宋简体" w:eastAsia="方正仿宋简体" w:cs="方正仿宋简体"/>
          <w:b/>
          <w:bCs/>
          <w:sz w:val="32"/>
          <w:szCs w:val="32"/>
          <w:lang w:val="en-US" w:eastAsia="zh-CN"/>
        </w:rPr>
      </w:pPr>
      <w:bookmarkStart w:id="523" w:name="_Toc243241597"/>
      <w:bookmarkStart w:id="524" w:name="OLE_LINK18"/>
      <w:r>
        <w:rPr>
          <w:rFonts w:hint="eastAsia" w:ascii="Times New Roman" w:hAnsi="Times New Roman" w:eastAsia="方正楷体简体" w:cs="方正楷体简体"/>
          <w:bCs/>
          <w:sz w:val="32"/>
          <w:szCs w:val="32"/>
          <w:lang w:val="en-US" w:eastAsia="zh-CN"/>
        </w:rPr>
        <w:t>（二）</w:t>
      </w:r>
      <w:bookmarkStart w:id="525" w:name="OLE_LINK217"/>
      <w:bookmarkStart w:id="526" w:name="OLE_LINK184"/>
      <w:r>
        <w:rPr>
          <w:rFonts w:ascii="Times New Roman" w:hAnsi="Times New Roman" w:eastAsia="方正楷体简体" w:cs="方正楷体简体"/>
          <w:bCs/>
          <w:sz w:val="32"/>
          <w:szCs w:val="32"/>
          <w:lang w:val="en-US" w:eastAsia="zh-CN"/>
        </w:rPr>
        <w:t>三区错位布局</w:t>
      </w:r>
      <w:bookmarkEnd w:id="525"/>
      <w:r>
        <w:rPr>
          <w:rFonts w:ascii="Times New Roman" w:hAnsi="Times New Roman" w:eastAsia="方正楷体简体" w:cs="方正楷体简体"/>
          <w:bCs/>
          <w:sz w:val="32"/>
          <w:szCs w:val="32"/>
          <w:lang w:val="en-US" w:eastAsia="zh-CN"/>
        </w:rPr>
        <w:t>，划定产业发展核心片区</w:t>
      </w:r>
      <w:bookmarkEnd w:id="523"/>
      <w:bookmarkEnd w:id="524"/>
      <w:bookmarkEnd w:id="526"/>
    </w:p>
    <w:p w14:paraId="4AF14904">
      <w:pPr>
        <w:spacing w:line="576" w:lineRule="exact"/>
        <w:ind w:firstLine="640" w:firstLineChars="200"/>
        <w:jc w:val="both"/>
        <w:rPr>
          <w:rFonts w:hint="eastAsia" w:ascii="方正仿宋简体" w:hAnsi="方正仿宋简体" w:eastAsia="方正仿宋简体" w:cs="方正仿宋简体"/>
          <w:bCs/>
          <w:sz w:val="32"/>
          <w:szCs w:val="32"/>
          <w:lang w:val="en-US" w:eastAsia="zh-CN"/>
        </w:rPr>
      </w:pPr>
      <w:r>
        <w:rPr>
          <w:rFonts w:ascii="方正仿宋简体" w:hAnsi="方正仿宋简体" w:eastAsia="方正仿宋简体" w:cs="方正仿宋简体"/>
          <w:bCs/>
          <w:sz w:val="32"/>
          <w:szCs w:val="32"/>
          <w:lang w:val="en-US" w:eastAsia="zh-CN"/>
        </w:rPr>
        <w:t>立足全域资源禀赋与主体功能定位，以三大功能片区为产业布局基本单元，实行分区定位、差异化培育，形成优势互补、协同联动的产业发展格局。</w:t>
      </w:r>
    </w:p>
    <w:p w14:paraId="258B09AD">
      <w:pPr>
        <w:spacing w:line="576" w:lineRule="exact"/>
        <w:ind w:firstLine="640" w:firstLineChars="200"/>
        <w:jc w:val="both"/>
        <w:rPr>
          <w:rFonts w:ascii="Times New Roman" w:hAnsi="Times New Roman" w:eastAsia="方正仿宋简体" w:cs="Times New Roman"/>
          <w:bCs/>
          <w:sz w:val="32"/>
          <w:szCs w:val="32"/>
          <w:lang w:val="en-US" w:eastAsia="zh-CN"/>
        </w:rPr>
      </w:pPr>
      <w:r>
        <w:rPr>
          <w:rFonts w:ascii="Times New Roman" w:hAnsi="Times New Roman" w:eastAsia="方正仿宋简体" w:cs="Times New Roman"/>
          <w:bCs/>
          <w:sz w:val="32"/>
          <w:szCs w:val="32"/>
          <w:lang w:val="en-US" w:eastAsia="zh-CN"/>
        </w:rPr>
        <w:t>1</w:t>
      </w:r>
      <w:r>
        <w:rPr>
          <w:rFonts w:hint="eastAsia" w:ascii="Times New Roman" w:hAnsi="Times New Roman" w:eastAsia="方正仿宋简体" w:cs="Times New Roman"/>
          <w:bCs/>
          <w:sz w:val="32"/>
          <w:szCs w:val="32"/>
          <w:lang w:val="en-US" w:eastAsia="zh-CN"/>
        </w:rPr>
        <w:t>．</w:t>
      </w:r>
      <w:r>
        <w:rPr>
          <w:rFonts w:ascii="Times New Roman" w:hAnsi="Times New Roman" w:eastAsia="方正仿宋简体" w:cs="Times New Roman"/>
          <w:bCs/>
          <w:sz w:val="32"/>
          <w:szCs w:val="32"/>
          <w:lang w:val="en-US" w:eastAsia="zh-CN"/>
        </w:rPr>
        <w:t>中部都市引领发展区（色尼区、聂荣县）——现代服务与畜产品精深加工承载核心。依托中心城区要素集聚、商贸流通、综合服务优势，重点发展畜产品精深加工、现代商贸物流、新能源配套、文旅综合服务、数字便民服务等特色产业，打造集研发、孵化、展销、集散于一体的全域产业核心枢纽。严守生态环保底线，严控粗放型、高耗低效产业落地，建成辐射藏中的高原绿色现代产业高地。</w:t>
      </w:r>
    </w:p>
    <w:p w14:paraId="61FF08EA">
      <w:pPr>
        <w:spacing w:line="576" w:lineRule="exact"/>
        <w:ind w:firstLine="640" w:firstLineChars="200"/>
        <w:jc w:val="both"/>
        <w:rPr>
          <w:rFonts w:ascii="Times New Roman" w:hAnsi="Times New Roman" w:eastAsia="方正仿宋简体" w:cs="Times New Roman"/>
          <w:bCs/>
          <w:sz w:val="32"/>
          <w:szCs w:val="32"/>
          <w:lang w:val="en-US" w:eastAsia="zh-CN"/>
        </w:rPr>
      </w:pPr>
      <w:r>
        <w:rPr>
          <w:rFonts w:ascii="Times New Roman" w:hAnsi="Times New Roman" w:eastAsia="方正仿宋简体" w:cs="Times New Roman"/>
          <w:bCs/>
          <w:sz w:val="32"/>
          <w:szCs w:val="32"/>
          <w:lang w:val="en-US" w:eastAsia="zh-CN"/>
        </w:rPr>
        <w:t>2</w:t>
      </w:r>
      <w:bookmarkStart w:id="527" w:name="OLE_LINK166"/>
      <w:r>
        <w:rPr>
          <w:rFonts w:hint="eastAsia" w:ascii="Times New Roman" w:hAnsi="Times New Roman" w:eastAsia="方正仿宋简体" w:cs="Times New Roman"/>
          <w:bCs/>
          <w:sz w:val="32"/>
          <w:szCs w:val="32"/>
          <w:lang w:val="en-US" w:eastAsia="zh-CN"/>
        </w:rPr>
        <w:t>．</w:t>
      </w:r>
      <w:r>
        <w:rPr>
          <w:rFonts w:ascii="Times New Roman" w:hAnsi="Times New Roman" w:eastAsia="方正仿宋简体" w:cs="Times New Roman"/>
          <w:bCs/>
          <w:sz w:val="32"/>
          <w:szCs w:val="32"/>
          <w:lang w:val="en-US" w:eastAsia="zh-CN"/>
        </w:rPr>
        <w:t>河谷特色产业</w:t>
      </w:r>
      <w:bookmarkEnd w:id="527"/>
      <w:r>
        <w:rPr>
          <w:rFonts w:ascii="Times New Roman" w:hAnsi="Times New Roman" w:eastAsia="方正仿宋简体" w:cs="Times New Roman"/>
          <w:bCs/>
          <w:sz w:val="32"/>
          <w:szCs w:val="32"/>
          <w:lang w:val="en-US" w:eastAsia="zh-CN"/>
        </w:rPr>
        <w:t>发展区（比如县、嘉黎县、索县、巴青县）——高原种养与生态文旅富民高地。依托怒江上游河谷水土、林下生态资源优势，聚焦绿色富民产业，重点布局高原生态种养、林下经济、藏药加工、农牧轻工、峡谷生态文旅、乡村休闲等产业。深化与藏东、川滇区域产业协作，畅通特色农牧产品、林下资源外销通道，打造全市覆盖面广、带动力强的绿色富民产业示范带。</w:t>
      </w:r>
    </w:p>
    <w:p w14:paraId="1005D566">
      <w:pPr>
        <w:spacing w:line="576" w:lineRule="exact"/>
        <w:ind w:firstLine="640" w:firstLineChars="200"/>
        <w:jc w:val="both"/>
        <w:rPr>
          <w:rFonts w:ascii="Times New Roman" w:hAnsi="Times New Roman" w:eastAsia="方正仿宋简体" w:cs="Times New Roman"/>
          <w:bCs/>
          <w:sz w:val="32"/>
          <w:szCs w:val="32"/>
          <w:lang w:val="en-US" w:eastAsia="zh-CN"/>
        </w:rPr>
      </w:pPr>
      <w:bookmarkStart w:id="528" w:name="OLE_LINK157"/>
      <w:r>
        <w:rPr>
          <w:rFonts w:ascii="Times New Roman" w:hAnsi="Times New Roman" w:eastAsia="方正仿宋简体" w:cs="Times New Roman"/>
          <w:bCs/>
          <w:sz w:val="32"/>
          <w:szCs w:val="32"/>
          <w:lang w:val="en-US" w:eastAsia="zh-CN"/>
        </w:rPr>
        <w:t>3</w:t>
      </w:r>
      <w:r>
        <w:rPr>
          <w:rFonts w:hint="eastAsia" w:ascii="Times New Roman" w:hAnsi="Times New Roman" w:eastAsia="方正仿宋简体" w:cs="Times New Roman"/>
          <w:bCs/>
          <w:sz w:val="32"/>
          <w:szCs w:val="32"/>
          <w:lang w:val="en-US" w:eastAsia="zh-CN"/>
        </w:rPr>
        <w:t>．</w:t>
      </w:r>
      <w:r>
        <w:rPr>
          <w:rFonts w:ascii="Times New Roman" w:hAnsi="Times New Roman" w:eastAsia="方正仿宋简体" w:cs="Times New Roman"/>
          <w:bCs/>
          <w:sz w:val="32"/>
          <w:szCs w:val="32"/>
          <w:lang w:val="en-US" w:eastAsia="zh-CN"/>
        </w:rPr>
        <w:t>西部</w:t>
      </w:r>
      <w:bookmarkStart w:id="529" w:name="OLE_LINK218"/>
      <w:r>
        <w:rPr>
          <w:rFonts w:ascii="Times New Roman" w:hAnsi="Times New Roman" w:eastAsia="方正仿宋简体" w:cs="Times New Roman"/>
          <w:bCs/>
          <w:sz w:val="32"/>
          <w:szCs w:val="32"/>
          <w:lang w:val="en-US" w:eastAsia="zh-CN"/>
        </w:rPr>
        <w:t>羌塘生态能源发展区</w:t>
      </w:r>
      <w:bookmarkEnd w:id="529"/>
      <w:r>
        <w:rPr>
          <w:rFonts w:ascii="Times New Roman" w:hAnsi="Times New Roman" w:eastAsia="方正仿宋简体" w:cs="Times New Roman"/>
          <w:bCs/>
          <w:sz w:val="32"/>
          <w:szCs w:val="32"/>
          <w:lang w:val="en-US" w:eastAsia="zh-CN"/>
        </w:rPr>
        <w:t>（班戈县、安多县、申扎县、尼玛县、双湖县）——生态保护与绿色低碳产业示范样板。坚守羌塘生态安全屏障底线，坚持保护优先、有序适度开发。重点发展清洁能源、合规盐湖绿色利用、</w:t>
      </w:r>
      <w:r>
        <w:rPr>
          <w:rFonts w:hint="eastAsia" w:ascii="Times New Roman" w:hAnsi="Times New Roman" w:eastAsia="方正仿宋简体" w:cs="Times New Roman"/>
          <w:bCs/>
          <w:sz w:val="32"/>
          <w:szCs w:val="32"/>
          <w:lang w:val="en-US" w:eastAsia="zh-CN"/>
        </w:rPr>
        <w:t>高原特色</w:t>
      </w:r>
      <w:r>
        <w:rPr>
          <w:rFonts w:ascii="Times New Roman" w:hAnsi="Times New Roman" w:eastAsia="方正仿宋简体" w:cs="Times New Roman"/>
          <w:bCs/>
          <w:sz w:val="32"/>
          <w:szCs w:val="32"/>
          <w:lang w:val="en-US" w:eastAsia="zh-CN"/>
        </w:rPr>
        <w:t>畜牧业、极地科考服务、高端原生态旅游等绿色产业，杜绝无序资源开发与过度商业化建设，探索高原生态价值转化新路径，实现生态保护与产业发展良性共生。</w:t>
      </w:r>
    </w:p>
    <w:bookmarkEnd w:id="528"/>
    <w:p w14:paraId="4AD85C1B">
      <w:pPr>
        <w:pStyle w:val="27"/>
        <w:spacing w:line="576" w:lineRule="exact"/>
        <w:ind w:firstLine="640" w:firstLineChars="200"/>
        <w:jc w:val="both"/>
        <w:outlineLvl w:val="1"/>
        <w:rPr>
          <w:rFonts w:ascii="Times New Roman" w:hAnsi="Times New Roman" w:eastAsia="方正楷体简体" w:cs="方正楷体简体"/>
          <w:bCs/>
          <w:sz w:val="32"/>
          <w:szCs w:val="32"/>
          <w:lang w:val="en-US" w:eastAsia="zh-CN"/>
        </w:rPr>
      </w:pPr>
      <w:bookmarkStart w:id="530" w:name="_Toc243241598"/>
      <w:bookmarkStart w:id="531" w:name="OLE_LINK219"/>
      <w:r>
        <w:rPr>
          <w:rFonts w:ascii="Times New Roman" w:hAnsi="Times New Roman" w:eastAsia="方正楷体简体" w:cs="方正楷体简体"/>
          <w:bCs/>
          <w:sz w:val="32"/>
          <w:szCs w:val="32"/>
          <w:lang w:val="en-US" w:eastAsia="zh-CN"/>
        </w:rPr>
        <w:t>（</w:t>
      </w:r>
      <w:r>
        <w:rPr>
          <w:rFonts w:hint="eastAsia" w:ascii="Times New Roman" w:hAnsi="Times New Roman" w:eastAsia="方正楷体简体" w:cs="方正楷体简体"/>
          <w:bCs/>
          <w:sz w:val="32"/>
          <w:szCs w:val="32"/>
          <w:lang w:val="en-US" w:eastAsia="zh-CN"/>
        </w:rPr>
        <w:t>三</w:t>
      </w:r>
      <w:r>
        <w:rPr>
          <w:rFonts w:ascii="Times New Roman" w:hAnsi="Times New Roman" w:eastAsia="方正楷体简体" w:cs="方正楷体简体"/>
          <w:bCs/>
          <w:sz w:val="32"/>
          <w:szCs w:val="32"/>
          <w:lang w:val="en-US" w:eastAsia="zh-CN"/>
        </w:rPr>
        <w:t>）四端联动赋能，构建产业对外开放格局</w:t>
      </w:r>
      <w:bookmarkEnd w:id="530"/>
    </w:p>
    <w:p w14:paraId="69525E88">
      <w:pPr>
        <w:spacing w:line="576" w:lineRule="exact"/>
        <w:ind w:firstLine="640" w:firstLineChars="200"/>
        <w:jc w:val="both"/>
        <w:rPr>
          <w:rFonts w:hint="eastAsia" w:ascii="方正仿宋简体" w:hAnsi="方正仿宋简体" w:eastAsia="方正仿宋简体" w:cs="方正仿宋简体"/>
          <w:bCs/>
          <w:sz w:val="32"/>
          <w:szCs w:val="32"/>
          <w:lang w:val="en-US" w:eastAsia="zh-CN"/>
        </w:rPr>
      </w:pPr>
      <w:r>
        <w:rPr>
          <w:rFonts w:ascii="方正仿宋简体" w:hAnsi="方正仿宋简体" w:eastAsia="方正仿宋简体" w:cs="方正仿宋简体"/>
          <w:bCs/>
          <w:sz w:val="32"/>
          <w:szCs w:val="32"/>
          <w:lang w:val="en-US" w:eastAsia="zh-CN"/>
        </w:rPr>
        <w:t>依托四大对外战略门户，打通那曲特色产业内外循环通道，强化跨区域产业协作，全面提升那曲特色产业市场竞争力与辐射影响力。</w:t>
      </w:r>
    </w:p>
    <w:p w14:paraId="180188BC">
      <w:pPr>
        <w:spacing w:line="576" w:lineRule="exact"/>
        <w:ind w:firstLine="643" w:firstLineChars="200"/>
        <w:jc w:val="both"/>
        <w:rPr>
          <w:rFonts w:hint="eastAsia" w:ascii="方正仿宋简体" w:hAnsi="方正仿宋简体" w:eastAsia="方正仿宋简体" w:cs="方正仿宋简体"/>
          <w:bCs/>
          <w:sz w:val="32"/>
          <w:szCs w:val="32"/>
          <w:lang w:val="en-US" w:eastAsia="zh-CN"/>
        </w:rPr>
      </w:pPr>
      <w:r>
        <w:rPr>
          <w:rFonts w:ascii="方正仿宋简体" w:hAnsi="方正仿宋简体" w:eastAsia="方正仿宋简体" w:cs="方正仿宋简体"/>
          <w:b/>
          <w:bCs/>
          <w:sz w:val="32"/>
          <w:szCs w:val="32"/>
          <w:lang w:val="en-US" w:eastAsia="zh-CN"/>
        </w:rPr>
        <w:t>北向门户端（安多县）</w:t>
      </w:r>
      <w:r>
        <w:rPr>
          <w:rFonts w:ascii="方正仿宋简体" w:hAnsi="方正仿宋简体" w:eastAsia="方正仿宋简体" w:cs="方正仿宋简体"/>
          <w:bCs/>
          <w:sz w:val="32"/>
          <w:szCs w:val="32"/>
          <w:lang w:val="en-US" w:eastAsia="zh-CN"/>
        </w:rPr>
        <w:t>：依托青藏铁路、青藏公路主干通道，立足藏青交界区位优势，重点发展物流集散、能源配套、</w:t>
      </w:r>
      <w:r>
        <w:rPr>
          <w:rFonts w:hint="eastAsia" w:ascii="方正仿宋简体" w:hAnsi="方正仿宋简体" w:eastAsia="方正仿宋简体" w:cs="方正仿宋简体"/>
          <w:bCs/>
          <w:sz w:val="32"/>
          <w:szCs w:val="32"/>
          <w:lang w:val="en-US" w:eastAsia="zh-CN"/>
        </w:rPr>
        <w:t>农</w:t>
      </w:r>
      <w:r>
        <w:rPr>
          <w:rFonts w:ascii="方正仿宋简体" w:hAnsi="方正仿宋简体" w:eastAsia="方正仿宋简体" w:cs="方正仿宋简体"/>
          <w:bCs/>
          <w:sz w:val="32"/>
          <w:szCs w:val="32"/>
          <w:lang w:val="en-US" w:eastAsia="zh-CN"/>
        </w:rPr>
        <w:t>畜产品外销产业，打造藏青甘产业协作枢纽，畅通北向流通大通道。</w:t>
      </w:r>
    </w:p>
    <w:p w14:paraId="0DE75B68">
      <w:pPr>
        <w:spacing w:line="576" w:lineRule="exact"/>
        <w:ind w:firstLine="643" w:firstLineChars="200"/>
        <w:jc w:val="both"/>
        <w:rPr>
          <w:rFonts w:hint="eastAsia" w:ascii="方正仿宋简体" w:hAnsi="方正仿宋简体" w:eastAsia="方正仿宋简体" w:cs="方正仿宋简体"/>
          <w:bCs/>
          <w:sz w:val="32"/>
          <w:szCs w:val="32"/>
          <w:lang w:val="en-US" w:eastAsia="zh-CN"/>
        </w:rPr>
      </w:pPr>
      <w:r>
        <w:rPr>
          <w:rFonts w:ascii="方正仿宋简体" w:hAnsi="方正仿宋简体" w:eastAsia="方正仿宋简体" w:cs="方正仿宋简体"/>
          <w:b/>
          <w:bCs/>
          <w:sz w:val="32"/>
          <w:szCs w:val="32"/>
          <w:lang w:val="en-US" w:eastAsia="zh-CN"/>
        </w:rPr>
        <w:t>南向门户端（色尼区）</w:t>
      </w:r>
      <w:r>
        <w:rPr>
          <w:rFonts w:ascii="方正仿宋简体" w:hAnsi="方正仿宋简体" w:eastAsia="方正仿宋简体" w:cs="方正仿宋简体"/>
          <w:bCs/>
          <w:sz w:val="32"/>
          <w:szCs w:val="32"/>
          <w:lang w:val="en-US" w:eastAsia="zh-CN"/>
        </w:rPr>
        <w:t>：深度融入藏中经济圈、对接拉萨都市圈，承接优质产业资源外溢，聚焦文旅服务、农牧</w:t>
      </w:r>
      <w:r>
        <w:rPr>
          <w:rFonts w:hint="eastAsia" w:ascii="方正仿宋简体" w:hAnsi="方正仿宋简体" w:eastAsia="方正仿宋简体" w:cs="方正仿宋简体"/>
          <w:bCs/>
          <w:sz w:val="32"/>
          <w:szCs w:val="32"/>
          <w:lang w:val="en-US" w:eastAsia="zh-CN"/>
        </w:rPr>
        <w:t>畜</w:t>
      </w:r>
      <w:r>
        <w:rPr>
          <w:rFonts w:ascii="方正仿宋简体" w:hAnsi="方正仿宋简体" w:eastAsia="方正仿宋简体" w:cs="方正仿宋简体"/>
          <w:bCs/>
          <w:sz w:val="32"/>
          <w:szCs w:val="32"/>
          <w:lang w:val="en-US" w:eastAsia="zh-CN"/>
        </w:rPr>
        <w:t>品牌推广、商贸流通产业，是全市特色产业对接全区核心门户。</w:t>
      </w:r>
    </w:p>
    <w:p w14:paraId="7FAA66B7">
      <w:pPr>
        <w:spacing w:line="576" w:lineRule="exact"/>
        <w:ind w:firstLine="643" w:firstLineChars="200"/>
        <w:jc w:val="both"/>
        <w:rPr>
          <w:rFonts w:hint="eastAsia" w:ascii="方正仿宋简体" w:hAnsi="方正仿宋简体" w:eastAsia="方正仿宋简体" w:cs="方正仿宋简体"/>
          <w:bCs/>
          <w:sz w:val="32"/>
          <w:szCs w:val="32"/>
          <w:lang w:val="en-US" w:eastAsia="zh-CN"/>
        </w:rPr>
      </w:pPr>
      <w:r>
        <w:rPr>
          <w:rFonts w:ascii="方正仿宋简体" w:hAnsi="方正仿宋简体" w:eastAsia="方正仿宋简体" w:cs="方正仿宋简体"/>
          <w:b/>
          <w:bCs/>
          <w:sz w:val="32"/>
          <w:szCs w:val="32"/>
          <w:lang w:val="en-US" w:eastAsia="zh-CN"/>
        </w:rPr>
        <w:t>东向门户端（索县、巴青县）</w:t>
      </w:r>
      <w:r>
        <w:rPr>
          <w:rFonts w:ascii="方正仿宋简体" w:hAnsi="方正仿宋简体" w:eastAsia="方正仿宋简体" w:cs="方正仿宋简体"/>
          <w:bCs/>
          <w:sz w:val="32"/>
          <w:szCs w:val="32"/>
          <w:lang w:val="en-US" w:eastAsia="zh-CN"/>
        </w:rPr>
        <w:t>：联动藏东、川西、滇西北区域，推动林下产品、高原种养产品、生态文旅资源向东输出，深化跨区域商贸、文旅、产业协同，打造东向开放发展桥头堡。</w:t>
      </w:r>
    </w:p>
    <w:p w14:paraId="473374B0">
      <w:pPr>
        <w:spacing w:line="576" w:lineRule="exact"/>
        <w:ind w:firstLine="643" w:firstLineChars="200"/>
        <w:jc w:val="both"/>
        <w:rPr>
          <w:rFonts w:hint="eastAsia" w:ascii="方正仿宋简体" w:hAnsi="方正仿宋简体" w:eastAsia="方正仿宋简体" w:cs="方正仿宋简体"/>
          <w:bCs/>
          <w:sz w:val="32"/>
          <w:szCs w:val="32"/>
          <w:lang w:val="en-US" w:eastAsia="zh-CN"/>
        </w:rPr>
      </w:pPr>
      <w:r>
        <w:rPr>
          <w:rFonts w:ascii="方正仿宋简体" w:hAnsi="方正仿宋简体" w:eastAsia="方正仿宋简体" w:cs="方正仿宋简体"/>
          <w:b/>
          <w:bCs/>
          <w:sz w:val="32"/>
          <w:szCs w:val="32"/>
          <w:lang w:val="en-US" w:eastAsia="zh-CN"/>
        </w:rPr>
        <w:t>西向门户端（尼玛县）</w:t>
      </w:r>
      <w:r>
        <w:rPr>
          <w:rFonts w:ascii="方正仿宋简体" w:hAnsi="方正仿宋简体" w:eastAsia="方正仿宋简体" w:cs="方正仿宋简体"/>
          <w:bCs/>
          <w:sz w:val="32"/>
          <w:szCs w:val="32"/>
          <w:lang w:val="en-US" w:eastAsia="zh-CN"/>
        </w:rPr>
        <w:t>：联动阿里地区发展，共建羌塘生态产业发展联盟，统筹西部生态牧业、生态旅游、绿色能源产业连片布局、抱团发展，激活西部全域产业动能。</w:t>
      </w:r>
    </w:p>
    <w:bookmarkEnd w:id="531"/>
    <w:p w14:paraId="1C1067AB">
      <w:pPr>
        <w:pStyle w:val="27"/>
        <w:spacing w:line="576" w:lineRule="exact"/>
        <w:ind w:firstLine="640" w:firstLineChars="200"/>
        <w:jc w:val="both"/>
        <w:outlineLvl w:val="1"/>
        <w:rPr>
          <w:rFonts w:ascii="Times New Roman" w:hAnsi="Times New Roman" w:eastAsia="方正楷体简体" w:cs="方正楷体简体"/>
          <w:bCs/>
          <w:sz w:val="32"/>
          <w:szCs w:val="32"/>
          <w:lang w:val="en-US" w:eastAsia="zh-CN"/>
        </w:rPr>
      </w:pPr>
      <w:bookmarkStart w:id="532" w:name="_Toc243241599"/>
      <w:r>
        <w:rPr>
          <w:rFonts w:hint="eastAsia" w:ascii="Times New Roman" w:hAnsi="Times New Roman" w:eastAsia="方正楷体简体" w:cs="方正楷体简体"/>
          <w:bCs/>
          <w:sz w:val="32"/>
          <w:szCs w:val="32"/>
          <w:lang w:val="en-US" w:eastAsia="zh-CN"/>
        </w:rPr>
        <w:t>（四）</w:t>
      </w:r>
      <w:r>
        <w:rPr>
          <w:rFonts w:ascii="Times New Roman" w:hAnsi="Times New Roman" w:eastAsia="方正楷体简体" w:cs="方正楷体简体"/>
          <w:bCs/>
          <w:sz w:val="32"/>
          <w:szCs w:val="32"/>
          <w:lang w:val="en-US" w:eastAsia="zh-CN"/>
        </w:rPr>
        <w:t>五纵六横贯通，构筑产业集聚发展廊道</w:t>
      </w:r>
      <w:bookmarkEnd w:id="532"/>
    </w:p>
    <w:p w14:paraId="3C65DBE5">
      <w:pPr>
        <w:spacing w:line="576" w:lineRule="exact"/>
        <w:ind w:firstLine="640" w:firstLineChars="200"/>
        <w:jc w:val="both"/>
        <w:rPr>
          <w:rFonts w:hint="eastAsia" w:ascii="方正仿宋简体" w:hAnsi="方正仿宋简体" w:eastAsia="方正仿宋简体" w:cs="方正仿宋简体"/>
          <w:bCs/>
          <w:sz w:val="32"/>
          <w:szCs w:val="32"/>
          <w:lang w:val="en-US" w:eastAsia="zh-CN"/>
        </w:rPr>
      </w:pPr>
      <w:r>
        <w:rPr>
          <w:rFonts w:ascii="方正仿宋简体" w:hAnsi="方正仿宋简体" w:eastAsia="方正仿宋简体" w:cs="方正仿宋简体"/>
          <w:bCs/>
          <w:sz w:val="32"/>
          <w:szCs w:val="32"/>
          <w:lang w:val="en-US" w:eastAsia="zh-CN"/>
        </w:rPr>
        <w:t>以</w:t>
      </w:r>
      <w:bookmarkStart w:id="533" w:name="OLE_LINK254"/>
      <w:r>
        <w:rPr>
          <w:rFonts w:ascii="方正仿宋简体" w:hAnsi="方正仿宋简体" w:eastAsia="方正仿宋简体" w:cs="方正仿宋简体"/>
          <w:bCs/>
          <w:sz w:val="32"/>
          <w:szCs w:val="32"/>
          <w:lang w:val="en-US" w:eastAsia="zh-CN"/>
        </w:rPr>
        <w:t>“五纵六横”</w:t>
      </w:r>
      <w:bookmarkEnd w:id="533"/>
      <w:r>
        <w:rPr>
          <w:rFonts w:ascii="方正仿宋简体" w:hAnsi="方正仿宋简体" w:eastAsia="方正仿宋简体" w:cs="方正仿宋简体"/>
          <w:bCs/>
          <w:sz w:val="32"/>
          <w:szCs w:val="32"/>
          <w:lang w:val="en-US" w:eastAsia="zh-CN"/>
        </w:rPr>
        <w:t>交通主干网为产业发展骨架，串联全域产业园区、示范基地、重点项目与文旅资源节点，形成“沿路集聚、连线成带、连片成区”的产业空间形态。全市特色产业重点项目、产业平台优先沿主干通道布局，依托交通廊道实现要素流动、产业延伸、集群成型。</w:t>
      </w:r>
    </w:p>
    <w:p w14:paraId="2AB1B2B0">
      <w:pPr>
        <w:spacing w:line="576" w:lineRule="exact"/>
        <w:ind w:firstLine="643" w:firstLineChars="200"/>
        <w:jc w:val="both"/>
        <w:rPr>
          <w:rFonts w:hint="eastAsia" w:ascii="方正仿宋简体" w:hAnsi="方正仿宋简体" w:eastAsia="方正仿宋简体" w:cs="方正仿宋简体"/>
          <w:bCs/>
          <w:sz w:val="32"/>
          <w:szCs w:val="32"/>
          <w:lang w:val="en-US" w:eastAsia="zh-CN"/>
        </w:rPr>
      </w:pPr>
      <w:r>
        <w:rPr>
          <w:rFonts w:ascii="方正仿宋简体" w:hAnsi="方正仿宋简体" w:eastAsia="方正仿宋简体" w:cs="方正仿宋简体"/>
          <w:b/>
          <w:bCs/>
          <w:sz w:val="32"/>
          <w:szCs w:val="32"/>
          <w:lang w:val="en-US" w:eastAsia="zh-CN"/>
        </w:rPr>
        <w:t>五纵纵向通道</w:t>
      </w:r>
      <w:r>
        <w:rPr>
          <w:rFonts w:ascii="方正仿宋简体" w:hAnsi="方正仿宋简体" w:eastAsia="方正仿宋简体" w:cs="方正仿宋简体"/>
          <w:bCs/>
          <w:sz w:val="32"/>
          <w:szCs w:val="32"/>
          <w:lang w:val="en-US" w:eastAsia="zh-CN"/>
        </w:rPr>
        <w:t>：贯通那曲南北，承担资源调配、产业联动、产品流通功能，串联南北生态能源、生态畜牧、农牧加工、生态文旅等核心业态，打通南北片区产业互补、要素互通渠道。</w:t>
      </w:r>
    </w:p>
    <w:p w14:paraId="7E20E340">
      <w:pPr>
        <w:spacing w:line="576" w:lineRule="exact"/>
        <w:ind w:firstLine="643" w:firstLineChars="200"/>
        <w:jc w:val="both"/>
        <w:rPr>
          <w:rFonts w:hint="eastAsia" w:ascii="方正仿宋简体" w:hAnsi="方正仿宋简体" w:eastAsia="方正仿宋简体" w:cs="方正仿宋简体"/>
          <w:bCs/>
          <w:sz w:val="32"/>
          <w:szCs w:val="32"/>
          <w:lang w:val="en-US" w:eastAsia="zh-CN"/>
        </w:rPr>
      </w:pPr>
      <w:r>
        <w:rPr>
          <w:rFonts w:ascii="方正仿宋简体" w:hAnsi="方正仿宋简体" w:eastAsia="方正仿宋简体" w:cs="方正仿宋简体"/>
          <w:b/>
          <w:bCs/>
          <w:sz w:val="32"/>
          <w:szCs w:val="32"/>
          <w:lang w:val="en-US" w:eastAsia="zh-CN"/>
        </w:rPr>
        <w:t>六横横向通道</w:t>
      </w:r>
      <w:r>
        <w:rPr>
          <w:rFonts w:ascii="方正仿宋简体" w:hAnsi="方正仿宋简体" w:eastAsia="方正仿宋简体" w:cs="方正仿宋简体"/>
          <w:bCs/>
          <w:sz w:val="32"/>
          <w:szCs w:val="32"/>
          <w:lang w:val="en-US" w:eastAsia="zh-CN"/>
        </w:rPr>
        <w:t>：串联全域东西片区，衔接西部绿色能源、中部综合服务、东部特色种养产业板块，破解县域产业孤立发展难题，推动东西业态融合、资源共享，形成全域协同的横向产业发展带。</w:t>
      </w:r>
    </w:p>
    <w:p w14:paraId="4EBAFBDF">
      <w:pPr>
        <w:pStyle w:val="27"/>
        <w:spacing w:line="576" w:lineRule="exact"/>
        <w:ind w:firstLine="640" w:firstLineChars="200"/>
        <w:jc w:val="both"/>
        <w:outlineLvl w:val="1"/>
        <w:rPr>
          <w:rFonts w:hint="eastAsia" w:ascii="方正仿宋简体" w:hAnsi="方正仿宋简体" w:eastAsia="方正仿宋简体" w:cs="方正仿宋简体"/>
          <w:b/>
          <w:bCs/>
          <w:sz w:val="32"/>
          <w:szCs w:val="32"/>
          <w:lang w:val="en-US" w:eastAsia="zh-CN"/>
        </w:rPr>
      </w:pPr>
      <w:bookmarkStart w:id="534" w:name="_Toc243241600"/>
      <w:bookmarkStart w:id="535" w:name="OLE_LINK240"/>
      <w:r>
        <w:rPr>
          <w:rFonts w:hint="eastAsia" w:ascii="Times New Roman" w:hAnsi="Times New Roman" w:eastAsia="方正楷体简体" w:cs="方正楷体简体"/>
          <w:bCs/>
          <w:sz w:val="32"/>
          <w:szCs w:val="32"/>
          <w:lang w:val="en-US" w:eastAsia="zh-CN"/>
        </w:rPr>
        <w:t>（五）</w:t>
      </w:r>
      <w:r>
        <w:rPr>
          <w:rFonts w:ascii="Times New Roman" w:hAnsi="Times New Roman" w:eastAsia="方正楷体简体" w:cs="方正楷体简体"/>
          <w:bCs/>
          <w:sz w:val="32"/>
          <w:szCs w:val="32"/>
          <w:lang w:val="en-US" w:eastAsia="zh-CN"/>
        </w:rPr>
        <w:t>多点梯次支撑，夯实产业县域落地载体</w:t>
      </w:r>
      <w:bookmarkEnd w:id="534"/>
    </w:p>
    <w:p w14:paraId="20AAAF3F">
      <w:pPr>
        <w:spacing w:line="576" w:lineRule="exact"/>
        <w:ind w:firstLine="640" w:firstLineChars="200"/>
        <w:jc w:val="both"/>
        <w:rPr>
          <w:rFonts w:hint="eastAsia" w:ascii="方正仿宋简体" w:hAnsi="方正仿宋简体" w:eastAsia="方正仿宋简体" w:cs="方正仿宋简体"/>
          <w:bCs/>
          <w:sz w:val="32"/>
          <w:szCs w:val="32"/>
          <w:lang w:val="en-US" w:eastAsia="zh-CN"/>
        </w:rPr>
      </w:pPr>
      <w:r>
        <w:rPr>
          <w:rFonts w:hint="eastAsia" w:ascii="方正仿宋简体" w:hAnsi="方正仿宋简体" w:eastAsia="方正仿宋简体" w:cs="方正仿宋简体"/>
          <w:bCs/>
          <w:sz w:val="32"/>
          <w:szCs w:val="32"/>
          <w:lang w:val="en-US" w:eastAsia="zh-CN"/>
        </w:rPr>
        <w:t>依托四大对外战略门户功能，构建“市域产业重点支点、县城核心、特色乡镇”三级多点支撑体系，坚持功能分工、错位互补，避免功能定位简单重叠，分级承载、梯度落地特色产业，因地制宜布局适配那曲产业导向的特色业态，实现全域产业差异化、集约化协同布局。</w:t>
      </w:r>
    </w:p>
    <w:p w14:paraId="55C22A03">
      <w:pPr>
        <w:spacing w:line="576" w:lineRule="exact"/>
        <w:ind w:firstLine="640" w:firstLineChars="200"/>
        <w:jc w:val="both"/>
        <w:rPr>
          <w:rFonts w:hint="eastAsia" w:ascii="方正仿宋简体" w:hAnsi="方正仿宋简体" w:eastAsia="方正仿宋简体" w:cs="方正仿宋简体"/>
          <w:bCs/>
          <w:sz w:val="32"/>
          <w:szCs w:val="32"/>
          <w:lang w:val="en-US" w:eastAsia="zh-CN"/>
        </w:rPr>
      </w:pPr>
      <w:r>
        <w:rPr>
          <w:rFonts w:hint="eastAsia" w:ascii="方正仿宋简体" w:hAnsi="方正仿宋简体" w:eastAsia="方正仿宋简体" w:cs="方正仿宋简体"/>
          <w:bCs/>
          <w:sz w:val="32"/>
          <w:szCs w:val="32"/>
          <w:lang w:val="en-US" w:eastAsia="zh-CN"/>
        </w:rPr>
        <w:t>安多、索县、班戈作为</w:t>
      </w:r>
      <w:bookmarkStart w:id="536" w:name="OLE_LINK241"/>
      <w:r>
        <w:rPr>
          <w:rFonts w:hint="eastAsia" w:ascii="方正仿宋简体" w:hAnsi="方正仿宋简体" w:eastAsia="方正仿宋简体" w:cs="方正仿宋简体"/>
          <w:bCs/>
          <w:sz w:val="32"/>
          <w:szCs w:val="32"/>
          <w:lang w:val="en-US" w:eastAsia="zh-CN"/>
        </w:rPr>
        <w:t>市域产业重点支点</w:t>
      </w:r>
      <w:bookmarkEnd w:id="536"/>
      <w:r>
        <w:rPr>
          <w:rFonts w:hint="eastAsia" w:ascii="方正仿宋简体" w:hAnsi="方正仿宋简体" w:eastAsia="方正仿宋简体" w:cs="方正仿宋简体"/>
          <w:bCs/>
          <w:sz w:val="32"/>
          <w:szCs w:val="32"/>
          <w:lang w:val="en-US" w:eastAsia="zh-CN"/>
        </w:rPr>
        <w:t>，侧重承载规模化、集聚化、枢纽型特色产业，培育县域产业集群；各县城聚焦主导产业，深耕精深加工、商贸流通、文旅集散、配套服务等核心业态；重点乡镇立足资源禀赋，培育特色种养、林下经济、精品文旅、生态牧业等细分特色产业，形成“一县一主业、一镇一特色”的全域产业发展格局。</w:t>
      </w:r>
    </w:p>
    <w:bookmarkEnd w:id="535"/>
    <w:p w14:paraId="1913DB9F">
      <w:pPr>
        <w:pStyle w:val="27"/>
        <w:spacing w:line="576" w:lineRule="exact"/>
        <w:ind w:firstLine="640" w:firstLineChars="200"/>
        <w:jc w:val="both"/>
        <w:outlineLvl w:val="1"/>
        <w:rPr>
          <w:rFonts w:ascii="Times New Roman" w:hAnsi="Times New Roman" w:eastAsia="方正楷体简体" w:cs="方正楷体简体"/>
          <w:bCs/>
          <w:sz w:val="32"/>
          <w:szCs w:val="32"/>
          <w:lang w:val="en-US" w:eastAsia="zh-CN"/>
        </w:rPr>
      </w:pPr>
      <w:bookmarkStart w:id="537" w:name="_Toc243241601"/>
      <w:r>
        <w:rPr>
          <w:rFonts w:ascii="Times New Roman" w:hAnsi="Times New Roman" w:eastAsia="方正楷体简体" w:cs="方正楷体简体"/>
          <w:bCs/>
          <w:sz w:val="32"/>
          <w:szCs w:val="32"/>
          <w:lang w:val="en-US" w:eastAsia="zh-CN"/>
        </w:rPr>
        <w:t>（六</w:t>
      </w:r>
      <w:r>
        <w:rPr>
          <w:rFonts w:hint="eastAsia" w:ascii="Times New Roman" w:hAnsi="Times New Roman" w:eastAsia="方正楷体简体" w:cs="方正楷体简体"/>
          <w:bCs/>
          <w:sz w:val="32"/>
          <w:szCs w:val="32"/>
          <w:lang w:val="en-US" w:eastAsia="zh-CN"/>
        </w:rPr>
        <w:t>）</w:t>
      </w:r>
      <w:r>
        <w:rPr>
          <w:rFonts w:ascii="Times New Roman" w:hAnsi="Times New Roman" w:eastAsia="方正楷体简体" w:cs="方正楷体简体"/>
          <w:bCs/>
          <w:sz w:val="32"/>
          <w:szCs w:val="32"/>
          <w:lang w:val="en-US" w:eastAsia="zh-CN"/>
        </w:rPr>
        <w:t>总体布局逻辑</w:t>
      </w:r>
      <w:bookmarkEnd w:id="537"/>
    </w:p>
    <w:p w14:paraId="29DD33E9">
      <w:pPr>
        <w:spacing w:line="576" w:lineRule="exact"/>
        <w:ind w:firstLine="640" w:firstLineChars="200"/>
        <w:jc w:val="both"/>
        <w:rPr>
          <w:rFonts w:hint="eastAsia" w:ascii="方正仿宋简体" w:hAnsi="方正仿宋简体" w:eastAsia="方正仿宋简体" w:cs="方正仿宋简体"/>
          <w:bCs/>
          <w:sz w:val="32"/>
          <w:szCs w:val="32"/>
          <w:lang w:val="en-US" w:eastAsia="zh-CN"/>
        </w:rPr>
      </w:pPr>
      <w:r>
        <w:rPr>
          <w:rFonts w:ascii="方正仿宋简体" w:hAnsi="方正仿宋简体" w:eastAsia="方正仿宋简体" w:cs="方正仿宋简体"/>
          <w:bCs/>
          <w:sz w:val="32"/>
          <w:szCs w:val="32"/>
          <w:lang w:val="en-US" w:eastAsia="zh-CN"/>
        </w:rPr>
        <w:t>“三区四端五纵六横多点”空间布局是全市产业布局、项目落地、政策施策的核心空间依据。以三区明晰差异化产业导向，以四端拓宽对外开放空间，以五纵六横搭建产业集聚主轴，以多点筑牢基层落地载体，全面规范全市特色产业发展布局与发展模式，为那曲特色产业全域协同、绿色高效、可持续高质量发展提供坚实空间支撑。</w:t>
      </w:r>
    </w:p>
    <w:bookmarkEnd w:id="518"/>
    <w:p w14:paraId="261D409F">
      <w:pPr>
        <w:pStyle w:val="8"/>
        <w:overflowPunct w:val="0"/>
        <w:topLinePunct/>
        <w:autoSpaceDE/>
        <w:autoSpaceDN/>
        <w:spacing w:before="0" w:line="576" w:lineRule="exact"/>
        <w:ind w:left="0" w:firstLine="640" w:firstLineChars="200"/>
        <w:jc w:val="both"/>
        <w:outlineLvl w:val="0"/>
        <w:rPr>
          <w:rFonts w:ascii="Times New Roman" w:hAnsi="Times New Roman" w:eastAsia="方正黑体简体" w:cs="方正黑体简体"/>
          <w:sz w:val="32"/>
          <w:szCs w:val="32"/>
          <w:lang w:val="en-US" w:eastAsia="zh-CN"/>
        </w:rPr>
      </w:pPr>
      <w:bookmarkStart w:id="538" w:name="_Toc243241602"/>
      <w:bookmarkStart w:id="539" w:name="_Toc218422295"/>
      <w:bookmarkStart w:id="540" w:name="_Toc212558151"/>
      <w:r>
        <w:rPr>
          <w:rFonts w:ascii="Times New Roman" w:hAnsi="Times New Roman" w:eastAsia="方正黑体简体" w:cs="方正黑体简体"/>
          <w:sz w:val="32"/>
          <w:szCs w:val="32"/>
          <w:lang w:val="en-US" w:eastAsia="zh-CN"/>
        </w:rPr>
        <w:t>二、政府层面：强化顶层赋能，构建高质量发展制度体系</w:t>
      </w:r>
      <w:bookmarkEnd w:id="538"/>
    </w:p>
    <w:p w14:paraId="02B56DA9">
      <w:pPr>
        <w:spacing w:line="576" w:lineRule="exact"/>
        <w:ind w:firstLine="640" w:firstLineChars="200"/>
        <w:jc w:val="both"/>
        <w:rPr>
          <w:rFonts w:ascii="方正仿宋简体" w:hAnsi="方正仿宋简体" w:eastAsia="方正仿宋简体" w:cs="方正仿宋简体"/>
          <w:bCs/>
          <w:sz w:val="32"/>
          <w:szCs w:val="32"/>
          <w:lang w:val="en-US"/>
        </w:rPr>
      </w:pPr>
      <w:r>
        <w:rPr>
          <w:rFonts w:ascii="方正仿宋简体" w:hAnsi="方正仿宋简体" w:eastAsia="方正仿宋简体" w:cs="方正仿宋简体"/>
          <w:bCs/>
          <w:sz w:val="32"/>
          <w:szCs w:val="32"/>
          <w:lang w:val="en-US"/>
        </w:rPr>
        <w:t>本目录确定的产业布局、重点任务、项目储备，与全市</w:t>
      </w:r>
      <w:r>
        <w:rPr>
          <w:rFonts w:hint="eastAsia" w:ascii="方正仿宋简体" w:hAnsi="方正仿宋简体" w:eastAsia="方正仿宋简体" w:cs="方正仿宋简体"/>
          <w:bCs/>
          <w:sz w:val="32"/>
          <w:szCs w:val="32"/>
          <w:lang w:val="en-US" w:eastAsia="zh-CN"/>
        </w:rPr>
        <w:t>“十五五”规划纲要</w:t>
      </w:r>
      <w:r>
        <w:rPr>
          <w:rFonts w:ascii="方正仿宋简体" w:hAnsi="方正仿宋简体" w:eastAsia="方正仿宋简体" w:cs="方正仿宋简体"/>
          <w:bCs/>
          <w:sz w:val="32"/>
          <w:szCs w:val="32"/>
          <w:lang w:val="en-US"/>
        </w:rPr>
        <w:t>目标任务一体衔接、配套支撑，实施动态评估调整。</w:t>
      </w:r>
    </w:p>
    <w:p w14:paraId="4B44D878">
      <w:pPr>
        <w:pStyle w:val="27"/>
        <w:spacing w:line="576" w:lineRule="exact"/>
        <w:ind w:firstLine="640" w:firstLineChars="200"/>
        <w:jc w:val="both"/>
        <w:outlineLvl w:val="1"/>
        <w:rPr>
          <w:rFonts w:hint="eastAsia" w:ascii="方正楷体简体" w:hAnsi="方正楷体简体" w:eastAsia="方正楷体简体" w:cs="方正楷体简体"/>
          <w:bCs/>
          <w:sz w:val="32"/>
          <w:szCs w:val="32"/>
          <w:lang w:val="en-US" w:eastAsia="zh-CN"/>
        </w:rPr>
      </w:pPr>
      <w:bookmarkStart w:id="541" w:name="_Toc243241603"/>
      <w:r>
        <w:rPr>
          <w:rFonts w:hint="eastAsia" w:ascii="方正楷体简体" w:hAnsi="方正楷体简体" w:eastAsia="方正楷体简体" w:cs="方正楷体简体"/>
          <w:bCs/>
          <w:sz w:val="32"/>
          <w:szCs w:val="32"/>
          <w:lang w:val="en-US" w:eastAsia="zh-CN"/>
        </w:rPr>
        <w:t>（一）健全“生态—产业”协同治理政策体系</w:t>
      </w:r>
      <w:bookmarkEnd w:id="541"/>
    </w:p>
    <w:p w14:paraId="2B316317">
      <w:pPr>
        <w:spacing w:line="576" w:lineRule="exact"/>
        <w:ind w:firstLine="640" w:firstLineChars="200"/>
        <w:jc w:val="both"/>
        <w:rPr>
          <w:rFonts w:hint="eastAsia" w:ascii="方正仿宋简体" w:hAnsi="方正仿宋简体" w:eastAsia="方正仿宋简体" w:cs="方正仿宋简体"/>
          <w:bCs/>
          <w:sz w:val="32"/>
          <w:szCs w:val="32"/>
          <w:lang w:val="en-US"/>
        </w:rPr>
      </w:pPr>
      <w:r>
        <w:rPr>
          <w:rFonts w:ascii="方正仿宋简体" w:hAnsi="方正仿宋简体" w:eastAsia="方正仿宋简体" w:cs="方正仿宋简体"/>
          <w:bCs/>
          <w:sz w:val="32"/>
          <w:szCs w:val="32"/>
          <w:lang w:val="en-US"/>
        </w:rPr>
        <w:t>坚持生态保护第一发展底线，锚定生态保护与产业发展双向共赢目标，构建权责清晰、标准统一、闭环管控的生态产业协同制度体系，推动生态优势系统性转化为发展优势。</w:t>
      </w:r>
      <w:r>
        <w:rPr>
          <w:rFonts w:hint="eastAsia" w:ascii="方正仿宋简体" w:hAnsi="方正仿宋简体" w:eastAsia="方正仿宋简体" w:cs="方正仿宋简体"/>
          <w:b/>
          <w:sz w:val="32"/>
          <w:szCs w:val="32"/>
          <w:lang w:val="en-US"/>
        </w:rPr>
        <w:t>一是</w:t>
      </w:r>
      <w:r>
        <w:rPr>
          <w:rFonts w:ascii="方正仿宋简体" w:hAnsi="方正仿宋简体" w:eastAsia="方正仿宋简体" w:cs="方正仿宋简体"/>
          <w:bCs/>
          <w:sz w:val="32"/>
          <w:szCs w:val="32"/>
          <w:lang w:val="en-US"/>
        </w:rPr>
        <w:t>健全生态准入负面清单制度。严格落实“三线一单”生态环境分区管控要求，细化那曲市域生态保护红线、高寒草场承载力底线、环境质量管控基线、特色产业准入正面清单，建立产业项目生态阈值预警机制，对超出生态承载阈值、不符合绿色发展导向的产业项目坚决实行一票否决，从源头严控生态扰动、规范产业发展</w:t>
      </w:r>
      <w:r>
        <w:rPr>
          <w:rFonts w:hint="eastAsia" w:ascii="方正仿宋简体" w:hAnsi="方正仿宋简体" w:eastAsia="方正仿宋简体" w:cs="方正仿宋简体"/>
          <w:bCs/>
          <w:sz w:val="32"/>
          <w:szCs w:val="32"/>
          <w:lang w:val="en-US"/>
        </w:rPr>
        <w:t>；</w:t>
      </w:r>
      <w:r>
        <w:rPr>
          <w:rFonts w:hint="eastAsia" w:ascii="方正仿宋简体" w:hAnsi="方正仿宋简体" w:eastAsia="方正仿宋简体" w:cs="方正仿宋简体"/>
          <w:b/>
          <w:sz w:val="32"/>
          <w:szCs w:val="32"/>
          <w:lang w:val="en-US"/>
        </w:rPr>
        <w:t>二是</w:t>
      </w:r>
      <w:r>
        <w:rPr>
          <w:rFonts w:ascii="方正仿宋简体" w:hAnsi="方正仿宋简体" w:eastAsia="方正仿宋简体" w:cs="方正仿宋简体"/>
          <w:bCs/>
          <w:sz w:val="32"/>
          <w:szCs w:val="32"/>
          <w:lang w:val="en-US"/>
        </w:rPr>
        <w:t>创新高原生态产品价值实现机制。积极申报国家生态产品价值实现机制试点，依托羌塘草原优质生态资源，探索建立标准化草原碳汇计量、核算、认证体系，将高原草场固碳、清洁能源减排等生态价值纳入全国碳交易市场，打通生态资源市场化变现通道，构建可持续的生态产业增值模式。</w:t>
      </w:r>
    </w:p>
    <w:p w14:paraId="20B327A0">
      <w:pPr>
        <w:pStyle w:val="27"/>
        <w:spacing w:line="576" w:lineRule="exact"/>
        <w:ind w:firstLine="640" w:firstLineChars="200"/>
        <w:jc w:val="both"/>
        <w:outlineLvl w:val="1"/>
        <w:rPr>
          <w:rFonts w:ascii="Times New Roman" w:hAnsi="Times New Roman" w:eastAsia="方正楷体简体" w:cs="方正楷体简体"/>
          <w:bCs/>
          <w:sz w:val="32"/>
          <w:szCs w:val="32"/>
          <w:lang w:val="en-US" w:eastAsia="zh-CN"/>
        </w:rPr>
      </w:pPr>
      <w:bookmarkStart w:id="542" w:name="_Toc243241604"/>
      <w:r>
        <w:rPr>
          <w:rFonts w:ascii="Times New Roman" w:hAnsi="Times New Roman" w:eastAsia="方正楷体简体" w:cs="方正楷体简体"/>
          <w:bCs/>
          <w:sz w:val="32"/>
          <w:szCs w:val="32"/>
          <w:lang w:val="en-US" w:eastAsia="zh-CN"/>
        </w:rPr>
        <w:t>（二）迭代升级多元精准政策保障工具</w:t>
      </w:r>
      <w:bookmarkEnd w:id="542"/>
    </w:p>
    <w:p w14:paraId="1403D66E">
      <w:pPr>
        <w:spacing w:line="576" w:lineRule="exact"/>
        <w:ind w:firstLine="640" w:firstLineChars="200"/>
        <w:jc w:val="both"/>
        <w:rPr>
          <w:rFonts w:ascii="Times New Roman" w:hAnsi="Times New Roman" w:eastAsia="方正仿宋简体" w:cs="方正仿宋简体"/>
          <w:bCs/>
          <w:sz w:val="32"/>
          <w:szCs w:val="32"/>
          <w:lang w:val="en-US"/>
        </w:rPr>
      </w:pPr>
      <w:r>
        <w:rPr>
          <w:rFonts w:hint="eastAsia" w:ascii="Times New Roman" w:hAnsi="Times New Roman" w:eastAsia="方正仿宋简体" w:cs="方正仿宋简体"/>
          <w:bCs/>
          <w:sz w:val="32"/>
          <w:szCs w:val="32"/>
          <w:lang w:val="en-US"/>
        </w:rPr>
        <w:t>聚焦产业转型痛点、企业发展难点、要素保障堵点，创新政策供给方式，丰富精准赋能工具，构建全方位、多层次、立体化的产业扶持保障体系。</w:t>
      </w:r>
      <w:r>
        <w:rPr>
          <w:rFonts w:hint="eastAsia" w:ascii="Times New Roman" w:hAnsi="Times New Roman" w:eastAsia="方正仿宋简体" w:cs="方正仿宋简体"/>
          <w:b/>
          <w:sz w:val="32"/>
          <w:szCs w:val="32"/>
          <w:lang w:val="en-US"/>
        </w:rPr>
        <w:t>一是</w:t>
      </w:r>
      <w:r>
        <w:rPr>
          <w:rFonts w:hint="eastAsia" w:ascii="Times New Roman" w:hAnsi="Times New Roman" w:eastAsia="方正仿宋简体" w:cs="方正仿宋简体"/>
          <w:bCs/>
          <w:sz w:val="32"/>
          <w:szCs w:val="32"/>
          <w:lang w:val="en-US"/>
        </w:rPr>
        <w:t>设立高原特色产业专项基金。统筹整合财政资金、援藏资金、社会资本，重点投向清洁能源、藏医药创新、智慧牧业、天然饮用水、低空经济、算力经济等产业，精准撬动社会资本集聚，赋能产业技改升级、业态创新、项目落地；</w:t>
      </w:r>
      <w:r>
        <w:rPr>
          <w:rFonts w:hint="eastAsia" w:ascii="Times New Roman" w:hAnsi="Times New Roman" w:eastAsia="方正仿宋简体" w:cs="方正仿宋简体"/>
          <w:b/>
          <w:sz w:val="32"/>
          <w:szCs w:val="32"/>
          <w:lang w:val="en-US"/>
        </w:rPr>
        <w:t>二是</w:t>
      </w:r>
      <w:r>
        <w:rPr>
          <w:rFonts w:hint="eastAsia" w:ascii="Times New Roman" w:hAnsi="Times New Roman" w:eastAsia="方正仿宋简体" w:cs="方正仿宋简体"/>
          <w:bCs/>
          <w:sz w:val="32"/>
          <w:szCs w:val="32"/>
          <w:lang w:val="en-US"/>
        </w:rPr>
        <w:t>升级生态补偿修复激励机制。严格落实生态占补平衡要求，推行产业用地“占用修复</w:t>
      </w:r>
      <w:r>
        <w:rPr>
          <w:rFonts w:hint="eastAsia" w:ascii="Times New Roman" w:hAnsi="Times New Roman" w:eastAsia="方正仿宋简体" w:cs="方正仿宋简体"/>
          <w:bCs/>
          <w:sz w:val="32"/>
          <w:szCs w:val="28"/>
          <w:lang w:val="en-US" w:eastAsia="zh-CN"/>
        </w:rPr>
        <w:t>1:2</w:t>
      </w:r>
      <w:r>
        <w:rPr>
          <w:rFonts w:hint="eastAsia" w:ascii="Times New Roman" w:hAnsi="Times New Roman" w:eastAsia="方正仿宋简体" w:cs="方正仿宋简体"/>
          <w:bCs/>
          <w:sz w:val="32"/>
          <w:szCs w:val="32"/>
          <w:lang w:val="en-US"/>
        </w:rPr>
        <w:t>”刚性制度，对产业开发占用的草地资源实施倍数生态修复。持续完善市场化、多元化生态补偿机制，压实企业生态修复主体责任，推动产业开发与生态修复同步推进、协同增效。</w:t>
      </w:r>
    </w:p>
    <w:p w14:paraId="7246015D">
      <w:pPr>
        <w:pStyle w:val="8"/>
        <w:overflowPunct w:val="0"/>
        <w:topLinePunct/>
        <w:autoSpaceDE/>
        <w:autoSpaceDN/>
        <w:spacing w:before="0" w:line="576" w:lineRule="exact"/>
        <w:ind w:left="0" w:firstLine="640" w:firstLineChars="200"/>
        <w:jc w:val="both"/>
        <w:outlineLvl w:val="0"/>
        <w:rPr>
          <w:rFonts w:ascii="Times New Roman" w:hAnsi="Times New Roman" w:eastAsia="方正黑体简体" w:cs="方正黑体简体"/>
          <w:sz w:val="32"/>
          <w:szCs w:val="32"/>
          <w:lang w:val="en-US" w:eastAsia="zh-CN"/>
        </w:rPr>
      </w:pPr>
      <w:bookmarkStart w:id="543" w:name="_Toc243241605"/>
      <w:r>
        <w:rPr>
          <w:rFonts w:ascii="Times New Roman" w:hAnsi="Times New Roman" w:eastAsia="方正黑体简体" w:cs="方正黑体简体"/>
          <w:sz w:val="32"/>
          <w:szCs w:val="32"/>
          <w:lang w:val="en-US" w:eastAsia="zh-CN"/>
        </w:rPr>
        <w:t>三、企业层面：聚焦主体提质，激活产业转型升级内生动能</w:t>
      </w:r>
      <w:bookmarkEnd w:id="543"/>
    </w:p>
    <w:p w14:paraId="02AF50F6">
      <w:pPr>
        <w:pStyle w:val="27"/>
        <w:spacing w:line="576" w:lineRule="exact"/>
        <w:ind w:firstLine="640" w:firstLineChars="200"/>
        <w:jc w:val="both"/>
        <w:outlineLvl w:val="1"/>
        <w:rPr>
          <w:rFonts w:ascii="Times New Roman" w:hAnsi="Times New Roman" w:eastAsia="方正楷体简体" w:cs="方正楷体简体"/>
          <w:bCs/>
          <w:sz w:val="32"/>
          <w:szCs w:val="32"/>
          <w:lang w:val="en-US" w:eastAsia="zh-CN"/>
        </w:rPr>
      </w:pPr>
      <w:bookmarkStart w:id="544" w:name="_Toc243241606"/>
      <w:r>
        <w:rPr>
          <w:rFonts w:ascii="Times New Roman" w:hAnsi="Times New Roman" w:eastAsia="方正楷体简体" w:cs="方正楷体简体"/>
          <w:bCs/>
          <w:sz w:val="32"/>
          <w:szCs w:val="32"/>
          <w:lang w:val="en-US" w:eastAsia="zh-CN"/>
        </w:rPr>
        <w:t>（一）实施传统产业迭代升级工程</w:t>
      </w:r>
      <w:bookmarkEnd w:id="544"/>
    </w:p>
    <w:p w14:paraId="1AC1B0BB">
      <w:pPr>
        <w:spacing w:line="576" w:lineRule="exact"/>
        <w:ind w:firstLine="643" w:firstLineChars="200"/>
        <w:jc w:val="both"/>
        <w:rPr>
          <w:rFonts w:ascii="Times New Roman" w:hAnsi="Times New Roman" w:eastAsia="方正仿宋简体" w:cs="方正仿宋简体"/>
          <w:bCs/>
          <w:sz w:val="32"/>
          <w:szCs w:val="32"/>
          <w:lang w:val="en-US"/>
        </w:rPr>
      </w:pPr>
      <w:r>
        <w:rPr>
          <w:rFonts w:hint="eastAsia" w:ascii="Times New Roman" w:hAnsi="Times New Roman" w:eastAsia="方正仿宋简体" w:cs="方正仿宋简体"/>
          <w:b/>
          <w:sz w:val="32"/>
          <w:szCs w:val="32"/>
          <w:lang w:val="en-US"/>
        </w:rPr>
        <w:t>一是</w:t>
      </w:r>
      <w:r>
        <w:rPr>
          <w:rFonts w:hint="eastAsia" w:ascii="Times New Roman" w:hAnsi="Times New Roman" w:eastAsia="方正仿宋简体" w:cs="方正仿宋简体"/>
          <w:bCs/>
          <w:sz w:val="32"/>
          <w:szCs w:val="32"/>
          <w:lang w:val="en-US"/>
        </w:rPr>
        <w:t>推动高原畜牧业全链条提质转型。全面摒弃传统粗放散养模式，构建“标准化养殖、精深加工、品牌运营、冷链配送”全产业链发展体系，常态化推广“龙头企业+合作社+家庭农（牧）户</w:t>
      </w:r>
      <w:r>
        <w:rPr>
          <w:rFonts w:hint="eastAsia" w:ascii="Times New Roman" w:hAnsi="Times New Roman" w:eastAsia="方正仿宋简体" w:cs="方正仿宋简体"/>
          <w:bCs/>
          <w:sz w:val="32"/>
          <w:szCs w:val="32"/>
          <w:lang w:val="en-US" w:eastAsia="zh-CN"/>
        </w:rPr>
        <w:t>+养殖大户（农牧户）</w:t>
      </w:r>
      <w:r>
        <w:rPr>
          <w:rFonts w:hint="eastAsia" w:ascii="Times New Roman" w:hAnsi="Times New Roman" w:eastAsia="方正仿宋简体" w:cs="方正仿宋简体"/>
          <w:bCs/>
          <w:sz w:val="32"/>
          <w:szCs w:val="32"/>
          <w:lang w:val="en-US"/>
        </w:rPr>
        <w:t>”紧密型利益联结机制。对标欧盟有机认证标准，统一畜产品生产加工规范，重点研发冻干牦牛肉、牦牛骨肽粉等高附加值产品。统筹构建“那曲—拉萨—成都”</w:t>
      </w:r>
      <w:r>
        <w:rPr>
          <w:rFonts w:hint="eastAsia" w:ascii="Times New Roman" w:hAnsi="Times New Roman" w:eastAsia="方正仿宋简体" w:cs="方正仿宋简体"/>
          <w:bCs/>
          <w:sz w:val="32"/>
          <w:szCs w:val="28"/>
          <w:lang w:val="en-US" w:eastAsia="zh-CN"/>
        </w:rPr>
        <w:t>72</w:t>
      </w:r>
      <w:r>
        <w:rPr>
          <w:rFonts w:hint="eastAsia" w:ascii="Times New Roman" w:hAnsi="Times New Roman" w:eastAsia="方正仿宋简体" w:cs="方正仿宋简体"/>
          <w:bCs/>
          <w:sz w:val="32"/>
          <w:szCs w:val="32"/>
          <w:lang w:val="en-US"/>
        </w:rPr>
        <w:t>小时直达冷链物流通道，系统性降低储运损耗，将全市畜产品综合损耗率由</w:t>
      </w:r>
      <w:r>
        <w:rPr>
          <w:rFonts w:hint="eastAsia" w:ascii="Times New Roman" w:hAnsi="Times New Roman" w:eastAsia="方正仿宋简体" w:cs="方正仿宋简体"/>
          <w:bCs/>
          <w:sz w:val="32"/>
          <w:szCs w:val="28"/>
          <w:lang w:val="en-US" w:eastAsia="zh-CN"/>
        </w:rPr>
        <w:t>25%</w:t>
      </w:r>
      <w:r>
        <w:rPr>
          <w:rFonts w:hint="eastAsia" w:ascii="Times New Roman" w:hAnsi="Times New Roman" w:eastAsia="方正仿宋简体" w:cs="方正仿宋简体"/>
          <w:bCs/>
          <w:sz w:val="32"/>
          <w:szCs w:val="32"/>
          <w:lang w:val="en-US"/>
        </w:rPr>
        <w:t>稳步降至</w:t>
      </w:r>
      <w:r>
        <w:rPr>
          <w:rFonts w:hint="eastAsia" w:ascii="Times New Roman" w:hAnsi="Times New Roman" w:eastAsia="方正仿宋简体" w:cs="方正仿宋简体"/>
          <w:bCs/>
          <w:sz w:val="32"/>
          <w:szCs w:val="28"/>
          <w:lang w:val="en-US" w:eastAsia="zh-CN"/>
        </w:rPr>
        <w:t>8%</w:t>
      </w:r>
      <w:r>
        <w:rPr>
          <w:rFonts w:hint="eastAsia" w:ascii="Times New Roman" w:hAnsi="Times New Roman" w:eastAsia="方正仿宋简体" w:cs="方正仿宋简体"/>
          <w:bCs/>
          <w:sz w:val="32"/>
          <w:szCs w:val="32"/>
          <w:lang w:val="en-US"/>
        </w:rPr>
        <w:t>以下；</w:t>
      </w:r>
      <w:r>
        <w:rPr>
          <w:rFonts w:hint="eastAsia" w:ascii="Times New Roman" w:hAnsi="Times New Roman" w:eastAsia="方正仿宋简体" w:cs="方正仿宋简体"/>
          <w:b/>
          <w:sz w:val="32"/>
          <w:szCs w:val="32"/>
          <w:lang w:val="en-US"/>
        </w:rPr>
        <w:t>二是</w:t>
      </w:r>
      <w:r>
        <w:rPr>
          <w:rFonts w:hint="eastAsia" w:ascii="Times New Roman" w:hAnsi="Times New Roman" w:eastAsia="方正仿宋简体" w:cs="方正仿宋简体"/>
          <w:bCs/>
          <w:sz w:val="32"/>
          <w:szCs w:val="32"/>
          <w:lang w:val="en-US"/>
        </w:rPr>
        <w:t>推动藏医药产业高端化价值升级。打破单一原料输出发展瓶颈，依托本土优质藏药材资源，布局仿野生抚育基地，夯实产业原料供给根基。深化校企协同创新，联合西藏藏医药大学开展虫草素提纯、藏药制剂改良等核心技术攻关，研发藏医药特色诊疗器械与创新制剂，积极推动优质藏药产品、特色诊疗服务纳入国家医保目录，全面提升产业附加值和市场竞争力。</w:t>
      </w:r>
    </w:p>
    <w:p w14:paraId="13A5B4BB">
      <w:pPr>
        <w:pStyle w:val="27"/>
        <w:spacing w:line="576" w:lineRule="exact"/>
        <w:ind w:firstLine="640" w:firstLineChars="200"/>
        <w:jc w:val="both"/>
        <w:outlineLvl w:val="1"/>
        <w:rPr>
          <w:rFonts w:hint="eastAsia" w:ascii="方正仿宋简体" w:hAnsi="方正仿宋简体" w:eastAsia="方正仿宋简体" w:cs="方正仿宋简体"/>
          <w:bCs/>
          <w:sz w:val="32"/>
          <w:szCs w:val="32"/>
          <w:lang w:val="en-US"/>
        </w:rPr>
      </w:pPr>
      <w:bookmarkStart w:id="545" w:name="_Toc243241607"/>
      <w:r>
        <w:rPr>
          <w:rFonts w:ascii="Times New Roman" w:hAnsi="Times New Roman" w:eastAsia="方正楷体简体" w:cs="方正楷体简体"/>
          <w:bCs/>
          <w:sz w:val="32"/>
          <w:szCs w:val="32"/>
          <w:lang w:val="en-US" w:eastAsia="zh-CN"/>
        </w:rPr>
        <w:t>（二）打造青藏高原清洁能源产业枢纽</w:t>
      </w:r>
      <w:bookmarkEnd w:id="545"/>
    </w:p>
    <w:p w14:paraId="5713164A">
      <w:pPr>
        <w:spacing w:line="576" w:lineRule="exact"/>
        <w:ind w:firstLine="643" w:firstLineChars="200"/>
        <w:jc w:val="both"/>
        <w:rPr>
          <w:rFonts w:ascii="Times New Roman" w:hAnsi="Times New Roman" w:eastAsia="方正仿宋简体" w:cs="方正仿宋简体"/>
          <w:bCs/>
          <w:sz w:val="32"/>
          <w:szCs w:val="32"/>
          <w:lang w:val="en-US"/>
        </w:rPr>
      </w:pPr>
      <w:r>
        <w:rPr>
          <w:rFonts w:hint="eastAsia" w:ascii="Times New Roman" w:hAnsi="Times New Roman" w:eastAsia="方正仿宋简体" w:cs="方正仿宋简体"/>
          <w:b/>
          <w:sz w:val="32"/>
          <w:szCs w:val="32"/>
          <w:lang w:val="en-US"/>
        </w:rPr>
        <w:t>一是</w:t>
      </w:r>
      <w:r>
        <w:rPr>
          <w:rFonts w:hint="eastAsia" w:ascii="Times New Roman" w:hAnsi="Times New Roman" w:eastAsia="方正仿宋简体" w:cs="方正仿宋简体"/>
          <w:bCs/>
          <w:sz w:val="32"/>
          <w:szCs w:val="32"/>
          <w:lang w:val="en-US"/>
        </w:rPr>
        <w:t>推进风光储氢一体化示范基地建设。立足高原优质风光资源，布局建设全球海拔最高的“光伏+压缩空气储能”示范项目，配套落地电解水制氢产业设施，有效破解新能源间歇性、波动性难题，全力消纳存量弃光产能，提升清洁能源综合利用效率；</w:t>
      </w:r>
      <w:r>
        <w:rPr>
          <w:rFonts w:hint="eastAsia" w:ascii="Times New Roman" w:hAnsi="Times New Roman" w:eastAsia="方正仿宋简体" w:cs="方正仿宋简体"/>
          <w:b/>
          <w:sz w:val="32"/>
          <w:szCs w:val="32"/>
          <w:lang w:val="en-US"/>
        </w:rPr>
        <w:t>二是</w:t>
      </w:r>
      <w:r>
        <w:rPr>
          <w:rFonts w:hint="eastAsia" w:ascii="Times New Roman" w:hAnsi="Times New Roman" w:eastAsia="方正仿宋简体" w:cs="方正仿宋简体"/>
          <w:bCs/>
          <w:sz w:val="32"/>
          <w:szCs w:val="32"/>
          <w:lang w:val="en-US"/>
        </w:rPr>
        <w:t>深化绿电本地消纳示范应用。全域推广“牧光互补”生态友好开发模式，依托光伏板下闲置空间规模化种植高原藜麦、藏药材等特色作物，同步配套电动牧羊设备租赁体系，大幅降低牧民生产生活燃料成本，降幅可达</w:t>
      </w:r>
      <w:r>
        <w:rPr>
          <w:rFonts w:hint="eastAsia" w:ascii="Times New Roman" w:hAnsi="Times New Roman" w:eastAsia="方正仿宋简体" w:cs="方正仿宋简体"/>
          <w:bCs/>
          <w:sz w:val="32"/>
          <w:szCs w:val="28"/>
          <w:lang w:val="en-US" w:eastAsia="zh-CN"/>
        </w:rPr>
        <w:t>60%</w:t>
      </w:r>
      <w:r>
        <w:rPr>
          <w:rFonts w:hint="eastAsia" w:ascii="Times New Roman" w:hAnsi="Times New Roman" w:eastAsia="方正仿宋简体" w:cs="方正仿宋简体"/>
          <w:bCs/>
          <w:sz w:val="32"/>
          <w:szCs w:val="32"/>
          <w:lang w:val="en-US"/>
        </w:rPr>
        <w:t>以上，实现新能源开发、农牧业生产、群众增收多维共赢。</w:t>
      </w:r>
    </w:p>
    <w:p w14:paraId="124B031B">
      <w:pPr>
        <w:pStyle w:val="27"/>
        <w:spacing w:line="576" w:lineRule="exact"/>
        <w:ind w:firstLine="640" w:firstLineChars="200"/>
        <w:jc w:val="both"/>
        <w:outlineLvl w:val="1"/>
        <w:rPr>
          <w:rFonts w:ascii="Times New Roman" w:hAnsi="Times New Roman" w:eastAsia="方正楷体简体" w:cs="方正楷体简体"/>
          <w:bCs/>
          <w:sz w:val="32"/>
          <w:szCs w:val="32"/>
          <w:lang w:val="en-US" w:eastAsia="zh-CN"/>
        </w:rPr>
      </w:pPr>
      <w:bookmarkStart w:id="546" w:name="_Toc243241608"/>
      <w:r>
        <w:rPr>
          <w:rFonts w:ascii="Times New Roman" w:hAnsi="Times New Roman" w:eastAsia="方正楷体简体" w:cs="方正楷体简体"/>
          <w:bCs/>
          <w:sz w:val="32"/>
          <w:szCs w:val="32"/>
          <w:lang w:val="en-US" w:eastAsia="zh-CN"/>
        </w:rPr>
        <w:t>（三）培育高原特色文旅标杆</w:t>
      </w:r>
      <w:r>
        <w:rPr>
          <w:rFonts w:ascii="Times New Roman" w:hAnsi="Times New Roman" w:eastAsia="方正仿宋简体" w:cs="方正仿宋简体"/>
          <w:bCs/>
          <w:sz w:val="32"/>
          <w:szCs w:val="28"/>
          <w:lang w:val="en-US" w:eastAsia="zh-CN"/>
        </w:rPr>
        <w:t>IP</w:t>
      </w:r>
      <w:r>
        <w:rPr>
          <w:rFonts w:ascii="Times New Roman" w:hAnsi="Times New Roman" w:eastAsia="方正楷体简体" w:cs="方正楷体简体"/>
          <w:bCs/>
          <w:sz w:val="32"/>
          <w:szCs w:val="32"/>
          <w:lang w:val="en-US" w:eastAsia="zh-CN"/>
        </w:rPr>
        <w:t>体系</w:t>
      </w:r>
      <w:bookmarkEnd w:id="546"/>
    </w:p>
    <w:p w14:paraId="62C2DDB3">
      <w:pPr>
        <w:spacing w:line="576" w:lineRule="exact"/>
        <w:ind w:firstLine="643" w:firstLineChars="200"/>
        <w:jc w:val="both"/>
        <w:rPr>
          <w:rFonts w:ascii="Times New Roman" w:hAnsi="Times New Roman" w:eastAsia="方正仿宋简体" w:cs="方正仿宋简体"/>
          <w:bCs/>
          <w:sz w:val="32"/>
          <w:szCs w:val="32"/>
          <w:lang w:val="en-US"/>
        </w:rPr>
      </w:pPr>
      <w:r>
        <w:rPr>
          <w:rFonts w:hint="eastAsia" w:ascii="Times New Roman" w:hAnsi="Times New Roman" w:eastAsia="方正仿宋简体" w:cs="方正仿宋简体"/>
          <w:b/>
          <w:sz w:val="32"/>
          <w:szCs w:val="32"/>
          <w:lang w:val="en-US"/>
        </w:rPr>
        <w:t>一是</w:t>
      </w:r>
      <w:r>
        <w:rPr>
          <w:rFonts w:hint="eastAsia" w:ascii="Times New Roman" w:hAnsi="Times New Roman" w:eastAsia="方正仿宋简体" w:cs="方正仿宋简体"/>
          <w:bCs/>
          <w:sz w:val="32"/>
          <w:szCs w:val="32"/>
          <w:lang w:val="en-US"/>
        </w:rPr>
        <w:t>构建全季全域文旅产品体系。破解文旅产业“单季依赖”瓶颈，差异化打造四季特色业态，夏季重点开发羌塘野生动物观测、草原生态研学产品，冬季深耕冰川观光、温泉疗愈、极地康养等特色业态，形成全季节、全场景文旅发展格局；</w:t>
      </w:r>
      <w:r>
        <w:rPr>
          <w:rFonts w:hint="eastAsia" w:ascii="Times New Roman" w:hAnsi="Times New Roman" w:eastAsia="方正仿宋简体" w:cs="方正仿宋简体"/>
          <w:b/>
          <w:sz w:val="32"/>
          <w:szCs w:val="32"/>
          <w:lang w:val="en-US"/>
        </w:rPr>
        <w:t>二是</w:t>
      </w:r>
      <w:r>
        <w:rPr>
          <w:rFonts w:hint="eastAsia" w:ascii="Times New Roman" w:hAnsi="Times New Roman" w:eastAsia="方正仿宋简体" w:cs="方正仿宋简体"/>
          <w:bCs/>
          <w:sz w:val="32"/>
          <w:szCs w:val="32"/>
          <w:lang w:val="en-US"/>
        </w:rPr>
        <w:t>再造沉浸式文化体验场景。高标准建设世界牦牛文化中心，深度挖掘游牧文化、民俗文化内核，打造沉浸式游牧生活体验项目，有效提升游客参与度与体验感，预计带动游客互动参与度提升</w:t>
      </w:r>
      <w:r>
        <w:rPr>
          <w:rFonts w:hint="eastAsia" w:ascii="Times New Roman" w:hAnsi="Times New Roman" w:eastAsia="方正仿宋简体" w:cs="方正仿宋简体"/>
          <w:bCs/>
          <w:sz w:val="32"/>
          <w:szCs w:val="28"/>
          <w:lang w:val="en-US" w:eastAsia="zh-CN"/>
        </w:rPr>
        <w:t>40%</w:t>
      </w:r>
      <w:r>
        <w:rPr>
          <w:rFonts w:hint="eastAsia" w:ascii="Times New Roman" w:hAnsi="Times New Roman" w:eastAsia="方正仿宋简体" w:cs="方正仿宋简体"/>
          <w:bCs/>
          <w:sz w:val="32"/>
          <w:szCs w:val="32"/>
          <w:lang w:val="en-US"/>
        </w:rPr>
        <w:t>以上；三</w:t>
      </w:r>
      <w:r>
        <w:rPr>
          <w:rFonts w:hint="eastAsia" w:ascii="Times New Roman" w:hAnsi="Times New Roman" w:eastAsia="方正仿宋简体" w:cs="方正仿宋简体"/>
          <w:b/>
          <w:sz w:val="32"/>
          <w:szCs w:val="32"/>
          <w:lang w:val="en-US"/>
        </w:rPr>
        <w:t>是</w:t>
      </w:r>
      <w:r>
        <w:rPr>
          <w:rFonts w:hint="eastAsia" w:ascii="Times New Roman" w:hAnsi="Times New Roman" w:eastAsia="方正仿宋简体" w:cs="方正仿宋简体"/>
          <w:bCs/>
          <w:sz w:val="32"/>
          <w:szCs w:val="32"/>
          <w:lang w:val="en-US"/>
        </w:rPr>
        <w:t>优化国道沿线文旅服务节点。依托</w:t>
      </w:r>
      <w:r>
        <w:rPr>
          <w:rFonts w:hint="eastAsia" w:ascii="Times New Roman" w:hAnsi="Times New Roman" w:eastAsia="方正仿宋简体" w:cs="方正仿宋简体"/>
          <w:bCs/>
          <w:sz w:val="32"/>
          <w:szCs w:val="28"/>
          <w:lang w:val="en-US" w:eastAsia="zh-CN"/>
        </w:rPr>
        <w:t>317</w:t>
      </w:r>
      <w:r>
        <w:rPr>
          <w:rFonts w:hint="eastAsia" w:ascii="Times New Roman" w:hAnsi="Times New Roman" w:eastAsia="方正仿宋简体" w:cs="方正仿宋简体"/>
          <w:bCs/>
          <w:sz w:val="32"/>
          <w:szCs w:val="32"/>
          <w:lang w:val="en-US"/>
        </w:rPr>
        <w:t>国道等交通干线，高标准布局一批特色文旅驿站，融合畜牧展示、民俗体验、产品展销、休憩服务等功能，打造全方位展示那曲特色风貌、产业优势、民族文化的对外窗口，持续提升全域文旅服务承载力。</w:t>
      </w:r>
    </w:p>
    <w:p w14:paraId="68C01363">
      <w:pPr>
        <w:pStyle w:val="8"/>
        <w:overflowPunct w:val="0"/>
        <w:topLinePunct/>
        <w:autoSpaceDE/>
        <w:autoSpaceDN/>
        <w:spacing w:before="0" w:line="576" w:lineRule="exact"/>
        <w:ind w:left="0" w:firstLine="640" w:firstLineChars="200"/>
        <w:jc w:val="both"/>
        <w:outlineLvl w:val="0"/>
        <w:rPr>
          <w:rFonts w:ascii="Times New Roman" w:hAnsi="Times New Roman" w:eastAsia="方正黑体简体" w:cs="方正黑体简体"/>
          <w:sz w:val="32"/>
          <w:szCs w:val="32"/>
          <w:lang w:val="en-US" w:eastAsia="zh-CN"/>
        </w:rPr>
      </w:pPr>
      <w:bookmarkStart w:id="547" w:name="_Toc243241609"/>
      <w:bookmarkStart w:id="548" w:name="OLE_LINK72"/>
      <w:bookmarkStart w:id="549" w:name="OLE_LINK256"/>
      <w:r>
        <w:rPr>
          <w:rFonts w:hint="eastAsia" w:ascii="Times New Roman" w:hAnsi="Times New Roman" w:eastAsia="方正黑体简体" w:cs="方正黑体简体"/>
          <w:sz w:val="32"/>
          <w:szCs w:val="32"/>
          <w:lang w:val="en-US" w:eastAsia="zh-CN"/>
        </w:rPr>
        <w:t>四</w:t>
      </w:r>
      <w:r>
        <w:rPr>
          <w:rFonts w:ascii="Times New Roman" w:hAnsi="Times New Roman" w:eastAsia="方正黑体简体" w:cs="方正黑体简体"/>
          <w:sz w:val="32"/>
          <w:szCs w:val="32"/>
          <w:lang w:val="en-US" w:eastAsia="zh-CN"/>
        </w:rPr>
        <w:t>、细分产业层面：精准施策赋能，推动特色产业提质增效</w:t>
      </w:r>
      <w:bookmarkEnd w:id="547"/>
    </w:p>
    <w:p w14:paraId="2BB4A45E">
      <w:pPr>
        <w:pStyle w:val="27"/>
        <w:spacing w:line="576" w:lineRule="exact"/>
        <w:ind w:firstLine="640" w:firstLineChars="200"/>
        <w:jc w:val="both"/>
        <w:outlineLvl w:val="1"/>
        <w:rPr>
          <w:rFonts w:ascii="Times New Roman" w:hAnsi="Times New Roman" w:eastAsia="方正楷体简体" w:cs="方正楷体简体"/>
          <w:bCs/>
          <w:sz w:val="32"/>
          <w:szCs w:val="32"/>
          <w:lang w:val="en-US" w:eastAsia="zh-CN"/>
        </w:rPr>
      </w:pPr>
      <w:bookmarkStart w:id="550" w:name="_Toc243241610"/>
      <w:r>
        <w:rPr>
          <w:rFonts w:ascii="Times New Roman" w:hAnsi="Times New Roman" w:eastAsia="方正楷体简体" w:cs="方正楷体简体"/>
          <w:bCs/>
          <w:sz w:val="32"/>
          <w:szCs w:val="32"/>
          <w:lang w:val="en-US" w:eastAsia="zh-CN"/>
        </w:rPr>
        <w:t>（一）高原特色畜牧业</w:t>
      </w:r>
      <w:bookmarkEnd w:id="550"/>
    </w:p>
    <w:p w14:paraId="4C127719">
      <w:pPr>
        <w:spacing w:line="576" w:lineRule="exact"/>
        <w:ind w:firstLine="640" w:firstLineChars="200"/>
        <w:jc w:val="both"/>
        <w:rPr>
          <w:rFonts w:hint="eastAsia" w:ascii="Times New Roman" w:hAnsi="Times New Roman" w:eastAsia="方正仿宋简体" w:cs="方正仿宋简体"/>
          <w:bCs/>
          <w:sz w:val="32"/>
          <w:szCs w:val="32"/>
          <w:lang w:val="en-US"/>
        </w:rPr>
      </w:pPr>
      <w:r>
        <w:rPr>
          <w:rFonts w:hint="eastAsia" w:ascii="Times New Roman" w:hAnsi="Times New Roman" w:eastAsia="方正仿宋简体" w:cs="方正仿宋简体"/>
          <w:bCs/>
          <w:sz w:val="32"/>
          <w:szCs w:val="32"/>
          <w:lang w:val="en-US"/>
        </w:rPr>
        <w:t>坚持生态优先、草畜平衡、提质增效、富民共享原则，统筹生态保护、产业发展、群众增收三大目标，推动传统粗放牧业向集约化、标准化、品牌化、智能化现代生态牧业全面转型，构建生态安全、生产高效、生活富裕的高原现代畜牧业发展体系。</w:t>
      </w:r>
      <w:r>
        <w:rPr>
          <w:rFonts w:hint="eastAsia" w:ascii="Times New Roman" w:hAnsi="Times New Roman" w:eastAsia="方正仿宋简体" w:cs="方正仿宋简体"/>
          <w:b/>
          <w:sz w:val="32"/>
          <w:szCs w:val="32"/>
          <w:lang w:val="en-US"/>
        </w:rPr>
        <w:t>一是</w:t>
      </w:r>
      <w:r>
        <w:rPr>
          <w:rFonts w:hint="eastAsia" w:ascii="Times New Roman" w:hAnsi="Times New Roman" w:eastAsia="方正仿宋简体" w:cs="方正仿宋简体"/>
          <w:bCs/>
          <w:sz w:val="32"/>
          <w:szCs w:val="32"/>
          <w:lang w:val="en-US"/>
        </w:rPr>
        <w:t>优化产业经营体系，提升规模化集约化水平。持续深化“</w:t>
      </w:r>
      <w:bookmarkStart w:id="551" w:name="OLE_LINK132"/>
      <w:r>
        <w:rPr>
          <w:rFonts w:hint="eastAsia" w:ascii="Times New Roman" w:hAnsi="Times New Roman" w:eastAsia="方正仿宋简体" w:cs="方正仿宋简体"/>
          <w:bCs/>
          <w:sz w:val="32"/>
          <w:szCs w:val="32"/>
          <w:lang w:val="en-US"/>
        </w:rPr>
        <w:t>龙头企业+合作社+家庭牧场</w:t>
      </w:r>
      <w:r>
        <w:rPr>
          <w:rFonts w:hint="eastAsia" w:ascii="Times New Roman" w:hAnsi="Times New Roman" w:eastAsia="方正仿宋简体" w:cs="方正仿宋简体"/>
          <w:bCs/>
          <w:sz w:val="32"/>
          <w:szCs w:val="32"/>
          <w:lang w:val="en-US" w:eastAsia="zh-CN"/>
        </w:rPr>
        <w:t>+</w:t>
      </w:r>
      <w:r>
        <w:rPr>
          <w:rFonts w:hint="eastAsia" w:ascii="Times New Roman" w:hAnsi="Times New Roman" w:eastAsia="方正仿宋简体" w:cs="方正仿宋简体"/>
          <w:bCs/>
          <w:sz w:val="32"/>
          <w:szCs w:val="32"/>
          <w:lang w:val="en-US"/>
        </w:rPr>
        <w:t>牧户</w:t>
      </w:r>
      <w:bookmarkEnd w:id="551"/>
      <w:r>
        <w:rPr>
          <w:rFonts w:hint="eastAsia" w:ascii="Times New Roman" w:hAnsi="Times New Roman" w:eastAsia="方正仿宋简体" w:cs="方正仿宋简体"/>
          <w:bCs/>
          <w:sz w:val="32"/>
          <w:szCs w:val="32"/>
          <w:lang w:val="en-US"/>
        </w:rPr>
        <w:t>”产业化经营模式，引导牧民以草场、牲畜、资金等生产要素入股经营主体，推动“资源变资产、资金变股金、牧民变股东”，整合分散生产资源，提升产业组织化、市场化对接能力。有序推进草场经营权规范流转，引导草原资源向养殖大户、专业合作社等优质经营主体集中，发展适度规模标准化养殖，既优化资源配置效率，又拓宽牧民租金、务工、分红多元增收渠道；</w:t>
      </w:r>
      <w:r>
        <w:rPr>
          <w:rFonts w:hint="eastAsia" w:ascii="Times New Roman" w:hAnsi="Times New Roman" w:eastAsia="方正仿宋简体" w:cs="方正仿宋简体"/>
          <w:b/>
          <w:sz w:val="32"/>
          <w:szCs w:val="32"/>
          <w:lang w:val="en-US"/>
        </w:rPr>
        <w:t>二是</w:t>
      </w:r>
      <w:r>
        <w:rPr>
          <w:rFonts w:hint="eastAsia" w:ascii="Times New Roman" w:hAnsi="Times New Roman" w:eastAsia="方正仿宋简体" w:cs="方正仿宋简体"/>
          <w:bCs/>
          <w:sz w:val="32"/>
          <w:szCs w:val="32"/>
          <w:lang w:val="en-US"/>
        </w:rPr>
        <w:t>强化科技赋能引领，推广绿色生态养殖模式。创新推行“传统放牧+科学补饲”“反季节短期育肥”技术模式，缩短养殖周期、提升出栏效益。严格落实“四季轮牧、三季休牧”生态制度，优化暖季出栏、冬宰补饲生产节奏，有效缓解冷季草场承载压力，稳固草畜平衡格局。将人工种草作为产业兜底战略举措，因地制宜推广房前屋后零星种草、冬圈夏草、集中连片机械化种草等多元模式，通过政策补贴激励牧民储草备草，从源头降低养殖成本、保障牲畜安全越冬。深化产学研合作，重点攻关畜种改良、疫病防控、牧草良种选育等关键技术，完善高寒棚圈、储草棚、人畜分离等基础设施，全面提升产业抗风险能力；</w:t>
      </w:r>
      <w:bookmarkStart w:id="552" w:name="OLE_LINK201"/>
      <w:r>
        <w:rPr>
          <w:rFonts w:hint="eastAsia" w:ascii="Times New Roman" w:hAnsi="Times New Roman" w:eastAsia="方正仿宋简体" w:cs="方正仿宋简体"/>
          <w:b/>
          <w:sz w:val="32"/>
          <w:szCs w:val="32"/>
          <w:lang w:val="en-US"/>
        </w:rPr>
        <w:t>三是</w:t>
      </w:r>
      <w:r>
        <w:rPr>
          <w:rFonts w:hint="eastAsia" w:ascii="Times New Roman" w:hAnsi="Times New Roman" w:eastAsia="方正仿宋简体" w:cs="方正仿宋简体"/>
          <w:bCs/>
          <w:sz w:val="32"/>
          <w:szCs w:val="32"/>
          <w:lang w:val="en-US"/>
        </w:rPr>
        <w:t>深耕品牌建设赋能，拓宽市场化销售渠道。立足那曲畜产品绿色、有机、稀缺的核心禀赋，依托“极地那曲”区域公共品牌势能，持续推进嘉黎牦牛、多玛绵羊等地理标志产品认证和全域有机认证，讲好高原生态畜牧品牌故事，走高端化、精品化市场发展路径。构建线上线下融合销售体系，稳固区内商超、餐饮订单合作基本盘，依托援藏渠道搭建东部城市直销窗口，依托电商平台拓宽线上销路。深耕产品精深加工，丰富牦牛肉制品、高原奶制品等多元化产品矩阵，持续提升产品附加值；</w:t>
      </w:r>
      <w:bookmarkEnd w:id="552"/>
      <w:r>
        <w:rPr>
          <w:rFonts w:hint="eastAsia" w:ascii="Times New Roman" w:hAnsi="Times New Roman" w:eastAsia="方正仿宋简体" w:cs="方正仿宋简体"/>
          <w:b/>
          <w:sz w:val="32"/>
          <w:szCs w:val="32"/>
          <w:lang w:val="en-US"/>
        </w:rPr>
        <w:t>四是</w:t>
      </w:r>
      <w:r>
        <w:rPr>
          <w:rFonts w:hint="eastAsia" w:ascii="Times New Roman" w:hAnsi="Times New Roman" w:eastAsia="方正仿宋简体" w:cs="方正仿宋简体"/>
          <w:bCs/>
          <w:sz w:val="32"/>
          <w:szCs w:val="32"/>
          <w:lang w:val="en-US"/>
        </w:rPr>
        <w:t>完善政策保障机制，夯实长效发展根基。实施畜群结构优化、适时出栏专项奖补政策，引导养殖户优化公母畜配比，提升能繁母畜占比，激励错峰出栏减负增效，依托冷链物流实现错峰销售增值。持续深化草畜平衡常态化管控，推广聂荣县“两山银行”“绿色超市”等生态价值转化模式，推动生态保护成效转化为群众增收收益。</w:t>
      </w:r>
    </w:p>
    <w:bookmarkEnd w:id="548"/>
    <w:p w14:paraId="7B6FE8D3">
      <w:pPr>
        <w:pStyle w:val="27"/>
        <w:spacing w:line="576" w:lineRule="exact"/>
        <w:ind w:firstLine="640" w:firstLineChars="200"/>
        <w:jc w:val="both"/>
        <w:outlineLvl w:val="1"/>
        <w:rPr>
          <w:rFonts w:ascii="Times New Roman" w:hAnsi="Times New Roman" w:eastAsia="方正楷体简体" w:cs="方正楷体简体"/>
          <w:bCs/>
          <w:sz w:val="32"/>
          <w:szCs w:val="32"/>
          <w:lang w:val="en-US" w:eastAsia="zh-CN"/>
        </w:rPr>
      </w:pPr>
      <w:bookmarkStart w:id="553" w:name="_Toc243241611"/>
      <w:r>
        <w:rPr>
          <w:rFonts w:ascii="Times New Roman" w:hAnsi="Times New Roman" w:eastAsia="方正楷体简体" w:cs="方正楷体简体"/>
          <w:bCs/>
          <w:sz w:val="32"/>
          <w:szCs w:val="32"/>
          <w:lang w:val="en-US" w:eastAsia="zh-CN"/>
        </w:rPr>
        <w:t>（二）藏医药产业</w:t>
      </w:r>
      <w:bookmarkEnd w:id="553"/>
    </w:p>
    <w:p w14:paraId="0F43D254">
      <w:pPr>
        <w:spacing w:line="576" w:lineRule="exact"/>
        <w:ind w:firstLine="640" w:firstLineChars="200"/>
        <w:jc w:val="both"/>
        <w:rPr>
          <w:rFonts w:ascii="Times New Roman" w:hAnsi="Times New Roman" w:eastAsia="方正仿宋简体" w:cs="方正仿宋简体"/>
          <w:bCs/>
          <w:sz w:val="32"/>
          <w:szCs w:val="32"/>
          <w:lang w:val="en-US"/>
        </w:rPr>
      </w:pPr>
      <w:r>
        <w:rPr>
          <w:rFonts w:hint="eastAsia" w:ascii="Times New Roman" w:hAnsi="Times New Roman" w:eastAsia="方正仿宋简体" w:cs="方正仿宋简体"/>
          <w:bCs/>
          <w:sz w:val="32"/>
          <w:szCs w:val="32"/>
          <w:lang w:val="en-US"/>
        </w:rPr>
        <w:t>坚持传承创新并重、保护开发并举，立足高原独特藏药材资源禀赋，以标准化建设为基础、科技创新为核心、产业融合为路径、市场拓展为目标，推动藏医药产业规范化、高端化、融合化发展，构建传承有序、创新有力、富民有效的现代藏医药产业体系。</w:t>
      </w:r>
      <w:r>
        <w:rPr>
          <w:rFonts w:hint="eastAsia" w:ascii="Times New Roman" w:hAnsi="Times New Roman" w:eastAsia="方正仿宋简体" w:cs="方正仿宋简体"/>
          <w:b/>
          <w:sz w:val="32"/>
          <w:szCs w:val="32"/>
          <w:lang w:val="en-US"/>
        </w:rPr>
        <w:t>一是</w:t>
      </w:r>
      <w:r>
        <w:rPr>
          <w:rFonts w:hint="eastAsia" w:ascii="Times New Roman" w:hAnsi="Times New Roman" w:eastAsia="方正仿宋简体" w:cs="方正仿宋简体"/>
          <w:bCs/>
          <w:sz w:val="32"/>
          <w:szCs w:val="32"/>
          <w:lang w:val="en-US"/>
        </w:rPr>
        <w:t>强化科技赋能，健全标准化发展体系。推动藏医药现代化转型，深化药企与科研院所协同攻关，开展藏药材炮制工艺、药理药效、临床应用等现代化研究，以科学体系阐释藏医药核心价值。配齐高效检测设备，构建“原料采收—加工炮制—成品出厂”全链条质量溯源管控体系。主动对接自治区藏药标准三年行动计划，积极参与藏药行业标准制订，推动更多特色藏药制剂取得合规批文、纳入医保支付体系，破除市场准入壁垒、提升行业整体规范化水平；</w:t>
      </w:r>
      <w:r>
        <w:rPr>
          <w:rFonts w:hint="eastAsia" w:ascii="Times New Roman" w:hAnsi="Times New Roman" w:eastAsia="方正仿宋简体" w:cs="方正仿宋简体"/>
          <w:b/>
          <w:sz w:val="32"/>
          <w:szCs w:val="32"/>
          <w:lang w:val="en-US"/>
        </w:rPr>
        <w:t>二是</w:t>
      </w:r>
      <w:r>
        <w:rPr>
          <w:rFonts w:hint="eastAsia" w:ascii="Times New Roman" w:hAnsi="Times New Roman" w:eastAsia="方正仿宋简体" w:cs="方正仿宋简体"/>
          <w:bCs/>
          <w:sz w:val="32"/>
          <w:szCs w:val="32"/>
          <w:lang w:val="en-US"/>
        </w:rPr>
        <w:t>坚守生态底线，保障资源永续利用。统筹资源保护与产业开发，因地制宜布局藏药材规范化仿野生种植基地，重点推进藏黄精等名贵濒危药材生态培育，在保障药材品质的前提下最大限度降低生态扰动。全面推行名贵药材采挖轮休、分区养护制度，完善药材溯源认证体系，实现资源有序开发、永续利用；</w:t>
      </w:r>
      <w:r>
        <w:rPr>
          <w:rFonts w:hint="eastAsia" w:ascii="Times New Roman" w:hAnsi="Times New Roman" w:eastAsia="方正仿宋简体" w:cs="方正仿宋简体"/>
          <w:b/>
          <w:sz w:val="32"/>
          <w:szCs w:val="32"/>
          <w:lang w:val="en-US"/>
        </w:rPr>
        <w:t>三是</w:t>
      </w:r>
      <w:r>
        <w:rPr>
          <w:rFonts w:hint="eastAsia" w:ascii="Times New Roman" w:hAnsi="Times New Roman" w:eastAsia="方正仿宋简体" w:cs="方正仿宋简体"/>
          <w:bCs/>
          <w:sz w:val="32"/>
          <w:szCs w:val="32"/>
          <w:lang w:val="en-US"/>
        </w:rPr>
        <w:t>完善培育体系，推动非遗活态传承。构建院校系统教育与民间师承传承相结合的复合型人才培育体系，重点破解民间藏医技艺断层、传承乏力等问题。加大“索如日玛”配伍技艺等非遗工坊政策、资金扶持力度，依托非遗工坊搭建就业创业、产品展销平台，吸纳本地大学生、农牧民就近就业，实现文化传承、技艺保护、群众增收有机统一；</w:t>
      </w:r>
      <w:r>
        <w:rPr>
          <w:rFonts w:hint="eastAsia" w:ascii="Times New Roman" w:hAnsi="Times New Roman" w:eastAsia="方正仿宋简体" w:cs="方正仿宋简体"/>
          <w:b/>
          <w:sz w:val="32"/>
          <w:szCs w:val="32"/>
          <w:lang w:val="en-US"/>
        </w:rPr>
        <w:t>四是</w:t>
      </w:r>
      <w:r>
        <w:rPr>
          <w:rFonts w:hint="eastAsia" w:ascii="Times New Roman" w:hAnsi="Times New Roman" w:eastAsia="方正仿宋简体" w:cs="方正仿宋简体"/>
          <w:bCs/>
          <w:sz w:val="32"/>
          <w:szCs w:val="32"/>
          <w:lang w:val="en-US"/>
        </w:rPr>
        <w:t>深化产业融合，拓宽市场发展空间。创新“藏医药+文化+旅游+康养”融合业态，大力发展藏药浴、高原康养、特色理疗等新兴业态，推动藏医药文化价值向经济价值转化。依托新媒体电商、直播带货等新模式拓宽销售渠道，全面破除市场化推广壁垒，持续扩大产业市场规模；</w:t>
      </w:r>
      <w:r>
        <w:rPr>
          <w:rFonts w:hint="eastAsia" w:ascii="Times New Roman" w:hAnsi="Times New Roman" w:eastAsia="方正仿宋简体" w:cs="方正仿宋简体"/>
          <w:b/>
          <w:sz w:val="32"/>
          <w:szCs w:val="32"/>
          <w:lang w:val="en-US"/>
        </w:rPr>
        <w:t>五是</w:t>
      </w:r>
      <w:r>
        <w:rPr>
          <w:rFonts w:hint="eastAsia" w:ascii="Times New Roman" w:hAnsi="Times New Roman" w:eastAsia="方正仿宋简体" w:cs="方正仿宋简体"/>
          <w:bCs/>
          <w:sz w:val="32"/>
          <w:szCs w:val="32"/>
          <w:lang w:val="en-US"/>
        </w:rPr>
        <w:t>强化政策统筹，深化区域协同发展。健全多部门联动推进机制，在土地供给、财政奖补、税费减免等方面精准施策，撬动社会资本参与藏医药产业集群建设。强化那曲统筹发展，积极参与五省区藏医药标准化协作，持续提升那曲藏医药品牌影响力和行业话语权。</w:t>
      </w:r>
    </w:p>
    <w:p w14:paraId="37E894BE">
      <w:pPr>
        <w:pStyle w:val="27"/>
        <w:spacing w:line="576" w:lineRule="exact"/>
        <w:ind w:firstLine="640" w:firstLineChars="200"/>
        <w:jc w:val="both"/>
        <w:outlineLvl w:val="1"/>
        <w:rPr>
          <w:rFonts w:ascii="Times New Roman" w:hAnsi="Times New Roman" w:eastAsia="方正楷体简体" w:cs="方正楷体简体"/>
          <w:bCs/>
          <w:sz w:val="32"/>
          <w:szCs w:val="32"/>
          <w:lang w:val="en-US" w:eastAsia="zh-CN"/>
        </w:rPr>
      </w:pPr>
      <w:bookmarkStart w:id="554" w:name="_Toc243241612"/>
      <w:r>
        <w:rPr>
          <w:rFonts w:ascii="Times New Roman" w:hAnsi="Times New Roman" w:eastAsia="方正楷体简体" w:cs="方正楷体简体"/>
          <w:bCs/>
          <w:sz w:val="32"/>
          <w:szCs w:val="32"/>
          <w:lang w:val="en-US" w:eastAsia="zh-CN"/>
        </w:rPr>
        <w:t>（三）清洁能源产业</w:t>
      </w:r>
      <w:bookmarkEnd w:id="554"/>
    </w:p>
    <w:p w14:paraId="709F07A6">
      <w:pPr>
        <w:spacing w:line="576" w:lineRule="exact"/>
        <w:ind w:firstLine="640" w:firstLineChars="200"/>
        <w:jc w:val="both"/>
        <w:rPr>
          <w:rFonts w:ascii="Times New Roman" w:hAnsi="Times New Roman" w:eastAsia="方正仿宋简体" w:cs="方正仿宋简体"/>
          <w:bCs/>
          <w:sz w:val="32"/>
          <w:szCs w:val="32"/>
          <w:lang w:val="en-US"/>
        </w:rPr>
      </w:pPr>
      <w:r>
        <w:rPr>
          <w:rFonts w:hint="eastAsia" w:ascii="Times New Roman" w:hAnsi="Times New Roman" w:eastAsia="方正仿宋简体" w:cs="方正仿宋简体"/>
          <w:bCs/>
          <w:sz w:val="32"/>
          <w:szCs w:val="32"/>
          <w:lang w:val="en-US"/>
        </w:rPr>
        <w:t>立足高原丰富风光水清洁能源资源禀赋，紧扣国家“双碳”战略部署，坚持生态优先、统筹开发、消纳增效、富民惠民导向，着力破解电网短板、消纳不足、业态单一等瓶颈，全力打造风光水储氢多能互补、生态友好、惠及民生的青藏高原清洁能源输出基地。</w:t>
      </w:r>
      <w:r>
        <w:rPr>
          <w:rFonts w:hint="eastAsia" w:ascii="Times New Roman" w:hAnsi="Times New Roman" w:eastAsia="方正仿宋简体" w:cs="方正仿宋简体"/>
          <w:b/>
          <w:sz w:val="32"/>
          <w:szCs w:val="32"/>
          <w:lang w:val="en-US"/>
        </w:rPr>
        <w:t>一是</w:t>
      </w:r>
      <w:r>
        <w:rPr>
          <w:rFonts w:hint="eastAsia" w:ascii="Times New Roman" w:hAnsi="Times New Roman" w:eastAsia="方正仿宋简体" w:cs="方正仿宋简体"/>
          <w:bCs/>
          <w:sz w:val="32"/>
          <w:szCs w:val="32"/>
          <w:lang w:val="en-US"/>
        </w:rPr>
        <w:t>夯实电网基础设施，提升外送消纳能力。全力推进藏中至昌都</w:t>
      </w:r>
      <w:r>
        <w:rPr>
          <w:rFonts w:hint="eastAsia" w:ascii="Times New Roman" w:hAnsi="Times New Roman" w:eastAsia="方正仿宋简体" w:cs="方正仿宋简体"/>
          <w:bCs/>
          <w:sz w:val="32"/>
          <w:szCs w:val="28"/>
          <w:lang w:val="en-US" w:eastAsia="zh-CN"/>
        </w:rPr>
        <w:t>500</w:t>
      </w:r>
      <w:r>
        <w:rPr>
          <w:rFonts w:hint="eastAsia" w:ascii="Times New Roman" w:hAnsi="Times New Roman" w:eastAsia="方正仿宋简体" w:cs="方正仿宋简体"/>
          <w:bCs/>
          <w:sz w:val="32"/>
          <w:szCs w:val="32"/>
          <w:lang w:val="en-US"/>
        </w:rPr>
        <w:t>千伏第二通道等重点电网工程建设，积极争取纳入国家能源规划布局，推动那曲主网架从</w:t>
      </w:r>
      <w:r>
        <w:rPr>
          <w:rFonts w:hint="eastAsia" w:ascii="Times New Roman" w:hAnsi="Times New Roman" w:eastAsia="方正仿宋简体" w:cs="方正仿宋简体"/>
          <w:bCs/>
          <w:sz w:val="32"/>
          <w:szCs w:val="28"/>
          <w:lang w:val="en-US" w:eastAsia="zh-CN"/>
        </w:rPr>
        <w:t>110</w:t>
      </w:r>
      <w:r>
        <w:rPr>
          <w:rFonts w:hint="eastAsia" w:ascii="Times New Roman" w:hAnsi="Times New Roman" w:eastAsia="方正仿宋简体" w:cs="方正仿宋简体"/>
          <w:bCs/>
          <w:sz w:val="32"/>
          <w:szCs w:val="32"/>
          <w:lang w:val="en-US"/>
        </w:rPr>
        <w:t>千伏向</w:t>
      </w:r>
      <w:r>
        <w:rPr>
          <w:rFonts w:hint="eastAsia" w:ascii="Times New Roman" w:hAnsi="Times New Roman" w:eastAsia="方正仿宋简体" w:cs="方正仿宋简体"/>
          <w:bCs/>
          <w:sz w:val="32"/>
          <w:szCs w:val="28"/>
          <w:lang w:val="en-US" w:eastAsia="zh-CN"/>
        </w:rPr>
        <w:t>500</w:t>
      </w:r>
      <w:r>
        <w:rPr>
          <w:rFonts w:hint="eastAsia" w:ascii="Times New Roman" w:hAnsi="Times New Roman" w:eastAsia="方正仿宋简体" w:cs="方正仿宋简体"/>
          <w:bCs/>
          <w:sz w:val="32"/>
          <w:szCs w:val="32"/>
          <w:lang w:val="en-US"/>
        </w:rPr>
        <w:t>千伏跨越式升级，破解与国家主干电网弱连接难题。持续优化县域配电网、农牧区基层电网，完善分布式供电网络，全面提升电网互联互济、电力交换、就地消纳能力，有效盘活存量清洁能源产能；</w:t>
      </w:r>
      <w:bookmarkStart w:id="555" w:name="OLE_LINK202"/>
      <w:r>
        <w:rPr>
          <w:rFonts w:hint="eastAsia" w:ascii="Times New Roman" w:hAnsi="Times New Roman" w:eastAsia="方正仿宋简体" w:cs="方正仿宋简体"/>
          <w:b/>
          <w:sz w:val="32"/>
          <w:szCs w:val="32"/>
          <w:lang w:val="en-US"/>
        </w:rPr>
        <w:t>二是</w:t>
      </w:r>
      <w:r>
        <w:rPr>
          <w:rFonts w:hint="eastAsia" w:ascii="Times New Roman" w:hAnsi="Times New Roman" w:eastAsia="方正仿宋简体" w:cs="方正仿宋简体"/>
          <w:bCs/>
          <w:sz w:val="32"/>
          <w:szCs w:val="32"/>
          <w:lang w:val="en-US"/>
        </w:rPr>
        <w:t>深化技术创新融合，构建多能互补体系。</w:t>
      </w:r>
      <w:r>
        <w:rPr>
          <w:rFonts w:ascii="Times New Roman" w:hAnsi="Times New Roman" w:eastAsia="方正仿宋简体" w:cs="方正仿宋简体"/>
          <w:bCs/>
          <w:sz w:val="32"/>
          <w:szCs w:val="32"/>
          <w:lang w:val="en-US"/>
        </w:rPr>
        <w:t>破解高原风光发电间歇性、波动性带来的并网与消纳难题</w:t>
      </w:r>
      <w:r>
        <w:rPr>
          <w:rFonts w:hint="eastAsia" w:ascii="Times New Roman" w:hAnsi="Times New Roman" w:eastAsia="方正仿宋简体" w:cs="方正仿宋简体"/>
          <w:bCs/>
          <w:sz w:val="32"/>
          <w:szCs w:val="32"/>
          <w:lang w:val="en-US"/>
        </w:rPr>
        <w:t>，大力发展构网型储能、光热发电、氢能储能等关键技术，落地全球高海拔塔式光热电站，依托光热储热、氢能跨季节储能优势，保障电力供应稳定连续。</w:t>
      </w:r>
      <w:bookmarkEnd w:id="555"/>
      <w:r>
        <w:rPr>
          <w:rFonts w:hint="eastAsia" w:ascii="Times New Roman" w:hAnsi="Times New Roman" w:eastAsia="方正仿宋简体" w:cs="方正仿宋简体"/>
          <w:bCs/>
          <w:sz w:val="32"/>
          <w:szCs w:val="32"/>
          <w:lang w:val="en-US"/>
        </w:rPr>
        <w:t>优化“风光水热储”一体化空间布局，实现多能源协同配置、智能调度，最大化提升能源综合利用效率；</w:t>
      </w:r>
      <w:r>
        <w:rPr>
          <w:rFonts w:hint="eastAsia" w:ascii="Times New Roman" w:hAnsi="Times New Roman" w:eastAsia="方正仿宋简体" w:cs="方正仿宋简体"/>
          <w:b/>
          <w:sz w:val="32"/>
          <w:szCs w:val="32"/>
          <w:lang w:val="en-US"/>
        </w:rPr>
        <w:t>三是</w:t>
      </w:r>
      <w:r>
        <w:rPr>
          <w:rFonts w:hint="eastAsia" w:ascii="Times New Roman" w:hAnsi="Times New Roman" w:eastAsia="方正仿宋简体" w:cs="方正仿宋简体"/>
          <w:bCs/>
          <w:sz w:val="32"/>
          <w:szCs w:val="32"/>
          <w:lang w:val="en-US"/>
        </w:rPr>
        <w:t>严守生态保护底线，推行绿色开发模式。坚决守住青藏高原生态安全屏障红线，将生态保护贯穿能源项目规划、建设、运营全周期。全面推广</w:t>
      </w:r>
      <w:r>
        <w:rPr>
          <w:rFonts w:hint="eastAsia" w:ascii="Times New Roman" w:hAnsi="Times New Roman" w:eastAsia="方正仿宋简体" w:cs="方正仿宋简体"/>
          <w:bCs/>
          <w:sz w:val="32"/>
          <w:szCs w:val="28"/>
          <w:lang w:val="en-US" w:eastAsia="zh-CN"/>
        </w:rPr>
        <w:t>1.8</w:t>
      </w:r>
      <w:r>
        <w:rPr>
          <w:rFonts w:hint="eastAsia" w:ascii="Times New Roman" w:hAnsi="Times New Roman" w:eastAsia="方正仿宋简体" w:cs="方正仿宋简体"/>
          <w:bCs/>
          <w:sz w:val="32"/>
          <w:szCs w:val="32"/>
          <w:lang w:val="en-US"/>
        </w:rPr>
        <w:t>米以上高架式“牧光互补”开发模式，实现光伏发电、草场养护、畜牧生产互不干扰、协同发展。健全能源开发生态补偿机制，推动能源开发与生态修复同步实施，实现资源开发、生态保护、绿色发展共赢；</w:t>
      </w:r>
      <w:bookmarkStart w:id="556" w:name="OLE_LINK206"/>
      <w:r>
        <w:rPr>
          <w:rFonts w:hint="eastAsia" w:ascii="Times New Roman" w:hAnsi="Times New Roman" w:eastAsia="方正仿宋简体" w:cs="方正仿宋简体"/>
          <w:b/>
          <w:sz w:val="32"/>
          <w:szCs w:val="32"/>
          <w:lang w:val="en-US"/>
        </w:rPr>
        <w:t>四是</w:t>
      </w:r>
      <w:r>
        <w:rPr>
          <w:rFonts w:hint="eastAsia" w:ascii="Times New Roman" w:hAnsi="Times New Roman" w:eastAsia="方正仿宋简体" w:cs="方正仿宋简体"/>
          <w:bCs/>
          <w:sz w:val="32"/>
          <w:szCs w:val="32"/>
          <w:lang w:val="en-US"/>
        </w:rPr>
        <w:t>健全利益联结机制，深化富民惠民成效。构建企业、集体、群众共建共享的利益分配体系，</w:t>
      </w:r>
      <w:r>
        <w:rPr>
          <w:rFonts w:ascii="Times New Roman" w:hAnsi="Times New Roman" w:eastAsia="方正仿宋简体" w:cs="方正仿宋简体"/>
          <w:bCs/>
          <w:sz w:val="32"/>
          <w:szCs w:val="32"/>
          <w:lang w:val="en-US"/>
        </w:rPr>
        <w:t>通过草原生态保护补助奖励、集体资产入股保底收益</w:t>
      </w:r>
      <w:r>
        <w:rPr>
          <w:rFonts w:hint="eastAsia" w:ascii="Times New Roman" w:hAnsi="Times New Roman" w:eastAsia="方正仿宋简体" w:cs="方正仿宋简体"/>
          <w:bCs/>
          <w:sz w:val="32"/>
          <w:szCs w:val="32"/>
          <w:lang w:val="en-US"/>
        </w:rPr>
        <w:t>、项目务工就业、技能培训、产业分红等多元方式，带动牧民稳定增收。</w:t>
      </w:r>
      <w:bookmarkEnd w:id="556"/>
      <w:r>
        <w:rPr>
          <w:rFonts w:hint="eastAsia" w:ascii="Times New Roman" w:hAnsi="Times New Roman" w:eastAsia="方正仿宋简体" w:cs="方正仿宋简体"/>
          <w:bCs/>
          <w:sz w:val="32"/>
          <w:szCs w:val="32"/>
          <w:lang w:val="en-US"/>
        </w:rPr>
        <w:t>优先吸纳本地劳动力、采购本地服务、配套社区公共设施，重点培育本土能源技术、运维管理人才，让清洁能源产业成为稳固富民的支柱产业；</w:t>
      </w:r>
      <w:r>
        <w:rPr>
          <w:rFonts w:hint="eastAsia" w:ascii="Times New Roman" w:hAnsi="Times New Roman" w:eastAsia="方正仿宋简体" w:cs="方正仿宋简体"/>
          <w:b/>
          <w:sz w:val="32"/>
          <w:szCs w:val="32"/>
          <w:lang w:val="en-US"/>
        </w:rPr>
        <w:t>五是</w:t>
      </w:r>
      <w:r>
        <w:rPr>
          <w:rFonts w:hint="eastAsia" w:ascii="Times New Roman" w:hAnsi="Times New Roman" w:eastAsia="方正仿宋简体" w:cs="方正仿宋简体"/>
          <w:bCs/>
          <w:sz w:val="32"/>
          <w:szCs w:val="32"/>
          <w:lang w:val="en-US"/>
        </w:rPr>
        <w:t>优化政策营商环境，深化区域协同合作。强化政府顶层设计，在土地、财税、人才、审批等方面精准赋能，持续深化“放管服”改革，打造优质营商环境。依托对口援藏机制，引进东部先进新能源技术、园区管理经验和生态治理模式，联合开展高海拔能源技术攻关，持续完善现代化清洁能源产业体系。</w:t>
      </w:r>
    </w:p>
    <w:p w14:paraId="1FF56836">
      <w:pPr>
        <w:pStyle w:val="27"/>
        <w:spacing w:line="576" w:lineRule="exact"/>
        <w:ind w:firstLine="640" w:firstLineChars="200"/>
        <w:jc w:val="both"/>
        <w:outlineLvl w:val="1"/>
        <w:rPr>
          <w:rFonts w:ascii="Times New Roman" w:hAnsi="Times New Roman" w:eastAsia="方正楷体简体" w:cs="方正楷体简体"/>
          <w:bCs/>
          <w:sz w:val="32"/>
          <w:szCs w:val="32"/>
          <w:lang w:val="en-US" w:eastAsia="zh-CN"/>
        </w:rPr>
      </w:pPr>
      <w:bookmarkStart w:id="557" w:name="_Toc243241613"/>
      <w:r>
        <w:rPr>
          <w:rFonts w:ascii="Times New Roman" w:hAnsi="Times New Roman" w:eastAsia="方正楷体简体" w:cs="方正楷体简体"/>
          <w:bCs/>
          <w:sz w:val="32"/>
          <w:szCs w:val="32"/>
          <w:lang w:val="en-US" w:eastAsia="zh-CN"/>
        </w:rPr>
        <w:t>（四）生态文旅产业</w:t>
      </w:r>
      <w:bookmarkEnd w:id="557"/>
    </w:p>
    <w:p w14:paraId="24ABB1AA">
      <w:pPr>
        <w:spacing w:line="576" w:lineRule="exact"/>
        <w:ind w:firstLine="640" w:firstLineChars="200"/>
        <w:jc w:val="both"/>
        <w:rPr>
          <w:rFonts w:ascii="Times New Roman" w:hAnsi="Times New Roman" w:eastAsia="方正仿宋简体" w:cs="方正仿宋简体"/>
          <w:bCs/>
          <w:sz w:val="32"/>
          <w:szCs w:val="32"/>
          <w:lang w:val="en-US"/>
        </w:rPr>
      </w:pPr>
      <w:r>
        <w:rPr>
          <w:rFonts w:hint="eastAsia" w:ascii="Times New Roman" w:hAnsi="Times New Roman" w:eastAsia="方正仿宋简体" w:cs="方正仿宋简体"/>
          <w:bCs/>
          <w:sz w:val="32"/>
          <w:szCs w:val="32"/>
          <w:lang w:val="en-US"/>
        </w:rPr>
        <w:t>立足那曲极地生态、特色民俗、厚重文化核心资源，坚持生态优先、规划引领、融合赋能、品牌驱动，深耕“极地那曲·天际之旅”文旅</w:t>
      </w:r>
      <w:r>
        <w:rPr>
          <w:rFonts w:hint="eastAsia" w:ascii="Times New Roman" w:hAnsi="Times New Roman" w:eastAsia="方正仿宋简体" w:cs="方正仿宋简体"/>
          <w:bCs/>
          <w:sz w:val="32"/>
          <w:szCs w:val="28"/>
          <w:lang w:val="en-US" w:eastAsia="zh-CN"/>
        </w:rPr>
        <w:t>IP</w:t>
      </w:r>
      <w:r>
        <w:rPr>
          <w:rFonts w:hint="eastAsia" w:ascii="Times New Roman" w:hAnsi="Times New Roman" w:eastAsia="方正仿宋简体" w:cs="方正仿宋简体"/>
          <w:bCs/>
          <w:sz w:val="32"/>
          <w:szCs w:val="32"/>
          <w:lang w:val="en-US"/>
        </w:rPr>
        <w:t>，持续丰富产品业态、完善配套设施、提升服务品质，全力打造国家级高原生态文化旅游目的地。</w:t>
      </w:r>
      <w:bookmarkStart w:id="558" w:name="OLE_LINK209"/>
      <w:r>
        <w:rPr>
          <w:rFonts w:hint="eastAsia" w:ascii="Times New Roman" w:hAnsi="Times New Roman" w:eastAsia="方正仿宋简体" w:cs="方正仿宋简体"/>
          <w:b/>
          <w:sz w:val="32"/>
          <w:szCs w:val="32"/>
          <w:lang w:val="en-US"/>
        </w:rPr>
        <w:t>一是</w:t>
      </w:r>
      <w:r>
        <w:rPr>
          <w:rFonts w:hint="eastAsia" w:ascii="Times New Roman" w:hAnsi="Times New Roman" w:eastAsia="方正仿宋简体" w:cs="方正仿宋简体"/>
          <w:bCs/>
          <w:sz w:val="32"/>
          <w:szCs w:val="32"/>
          <w:lang w:val="en-US"/>
        </w:rPr>
        <w:t>坚守生态底线，强化科学规划引领。始终坚持“在保护中开发、在开发中保护”，严格落实全域生态管控要求，严守生态保护红线。紧扣“</w:t>
      </w:r>
      <w:bookmarkStart w:id="559" w:name="OLE_LINK212"/>
      <w:r>
        <w:rPr>
          <w:rFonts w:ascii="Times New Roman" w:hAnsi="Times New Roman" w:eastAsia="方正仿宋简体" w:cs="Times New Roman"/>
          <w:sz w:val="32"/>
          <w:szCs w:val="32"/>
          <w:lang w:eastAsia="zh-CN"/>
        </w:rPr>
        <w:t>一心</w:t>
      </w:r>
      <w:bookmarkStart w:id="560" w:name="OLE_LINK222"/>
      <w:r>
        <w:rPr>
          <w:rFonts w:ascii="Times New Roman" w:hAnsi="Times New Roman" w:eastAsia="方正仿宋简体" w:cs="Times New Roman"/>
          <w:sz w:val="32"/>
          <w:szCs w:val="32"/>
          <w:lang w:eastAsia="zh-CN"/>
        </w:rPr>
        <w:t>两廊</w:t>
      </w:r>
      <w:bookmarkEnd w:id="560"/>
      <w:r>
        <w:rPr>
          <w:rFonts w:ascii="Times New Roman" w:hAnsi="Times New Roman" w:eastAsia="方正仿宋简体" w:cs="Times New Roman"/>
          <w:sz w:val="32"/>
          <w:szCs w:val="32"/>
          <w:lang w:eastAsia="zh-CN"/>
        </w:rPr>
        <w:t>两环线三片区</w:t>
      </w:r>
      <w:bookmarkEnd w:id="559"/>
      <w:r>
        <w:rPr>
          <w:rFonts w:hint="eastAsia" w:ascii="Times New Roman" w:hAnsi="Times New Roman" w:eastAsia="方正仿宋简体" w:cs="方正仿宋简体"/>
          <w:bCs/>
          <w:sz w:val="32"/>
          <w:szCs w:val="32"/>
          <w:lang w:val="en-US"/>
        </w:rPr>
        <w:t>”文旅空间布局，统筹推进文旅项目规划建设，确保产业发展与生态保护、资源承载高度适配，实现生态价值、文旅价值、社会价值协同提升；</w:t>
      </w:r>
      <w:bookmarkEnd w:id="558"/>
      <w:r>
        <w:rPr>
          <w:rFonts w:hint="eastAsia" w:ascii="Times New Roman" w:hAnsi="Times New Roman" w:eastAsia="方正仿宋简体" w:cs="方正仿宋简体"/>
          <w:b/>
          <w:sz w:val="32"/>
          <w:szCs w:val="32"/>
          <w:lang w:val="en-US"/>
        </w:rPr>
        <w:t>二是</w:t>
      </w:r>
      <w:r>
        <w:rPr>
          <w:rFonts w:hint="eastAsia" w:ascii="Times New Roman" w:hAnsi="Times New Roman" w:eastAsia="方正仿宋简体" w:cs="方正仿宋简体"/>
          <w:bCs/>
          <w:sz w:val="32"/>
          <w:szCs w:val="32"/>
          <w:lang w:val="en-US"/>
        </w:rPr>
        <w:t>深化产业融合，丰富多元产品业态。全面推进“文旅+”“+文旅”跨界融合，推动文旅与农业、牧业、体育、康养深度联动。大力发展生态农文旅，整合草原生态、农牧体验、民俗文化资源，打造沉浸式乡村文旅业态。常态化举办高原星空音乐节、民俗购物节等引流活动，深度挖掘格萨尔文化、羌塘象雄文化、赛马文化，推动非遗技艺、文艺演出、红色文化进景区，丰富文旅产品供给。推广“文旅+乡村”发展模式，大力培育家庭旅馆、民俗茶馆等基层业态，让群众全面共享文旅发展红利；</w:t>
      </w:r>
      <w:r>
        <w:rPr>
          <w:rFonts w:hint="eastAsia" w:ascii="Times New Roman" w:hAnsi="Times New Roman" w:eastAsia="方正仿宋简体" w:cs="方正仿宋简体"/>
          <w:b/>
          <w:sz w:val="32"/>
          <w:szCs w:val="32"/>
          <w:lang w:val="en-US"/>
        </w:rPr>
        <w:t>三是</w:t>
      </w:r>
      <w:r>
        <w:rPr>
          <w:rFonts w:hint="eastAsia" w:ascii="Times New Roman" w:hAnsi="Times New Roman" w:eastAsia="方正仿宋简体" w:cs="方正仿宋简体"/>
          <w:bCs/>
          <w:sz w:val="32"/>
          <w:szCs w:val="32"/>
          <w:lang w:val="en-US"/>
        </w:rPr>
        <w:t>完善配套体系，提升综合服务能力。持续推进重点景区、旅游干线基础设施提档升级，实施县域星级酒店、有氧宾馆全覆盖工程，全面提升高原文旅接待硬件水平。常态化开展文旅服务质量专项整治行动，推进服务标准化、精细化、规范化建设，营造安全舒心、优质高效的文旅消费环境；</w:t>
      </w:r>
      <w:r>
        <w:rPr>
          <w:rFonts w:hint="eastAsia" w:ascii="Times New Roman" w:hAnsi="Times New Roman" w:eastAsia="方正仿宋简体" w:cs="方正仿宋简体"/>
          <w:b/>
          <w:sz w:val="32"/>
          <w:szCs w:val="32"/>
          <w:lang w:val="en-US"/>
        </w:rPr>
        <w:t>四是</w:t>
      </w:r>
      <w:r>
        <w:rPr>
          <w:rFonts w:hint="eastAsia" w:ascii="Times New Roman" w:hAnsi="Times New Roman" w:eastAsia="方正仿宋简体" w:cs="方正仿宋简体"/>
          <w:bCs/>
          <w:sz w:val="32"/>
          <w:szCs w:val="32"/>
          <w:lang w:val="en-US"/>
        </w:rPr>
        <w:t>强化科技赋能，构建智慧文旅体系。依托大数据、5G、北斗等数字技术，搭建集信息查询、票务预订、交通接驳、应急救助、投诉处置、产品展销于一体的全域智慧文旅平台，实现文旅服务线上化、智能化、便捷化，全面提升游客出行体验和产业运行效率；</w:t>
      </w:r>
      <w:r>
        <w:rPr>
          <w:rFonts w:hint="eastAsia" w:ascii="Times New Roman" w:hAnsi="Times New Roman" w:eastAsia="方正仿宋简体" w:cs="方正仿宋简体"/>
          <w:b/>
          <w:sz w:val="32"/>
          <w:szCs w:val="32"/>
          <w:lang w:val="en-US"/>
        </w:rPr>
        <w:t>五是</w:t>
      </w:r>
      <w:r>
        <w:rPr>
          <w:rFonts w:hint="eastAsia" w:ascii="Times New Roman" w:hAnsi="Times New Roman" w:eastAsia="方正仿宋简体" w:cs="方正仿宋简体"/>
          <w:bCs/>
          <w:sz w:val="32"/>
          <w:szCs w:val="32"/>
          <w:lang w:val="en-US"/>
        </w:rPr>
        <w:t>深化开放协同，放大援藏赋能效应。深化区域文旅联盟合作，联合区内兄弟地市、对口援藏省市共建精品旅游线路、开展联合推介宣传。充分依托援藏机制，精准开展双招双引，落地优质文旅项目、引进专业运营团队、吸纳高端文旅人才，持续开展“引客入那”行动，全方位拓宽客源市场；</w:t>
      </w:r>
      <w:r>
        <w:rPr>
          <w:rFonts w:hint="eastAsia" w:ascii="Times New Roman" w:hAnsi="Times New Roman" w:eastAsia="方正仿宋简体" w:cs="方正仿宋简体"/>
          <w:b/>
          <w:sz w:val="32"/>
          <w:szCs w:val="32"/>
          <w:lang w:val="en-US"/>
        </w:rPr>
        <w:t>六是</w:t>
      </w:r>
      <w:r>
        <w:rPr>
          <w:rFonts w:hint="eastAsia" w:ascii="Times New Roman" w:hAnsi="Times New Roman" w:eastAsia="方正仿宋简体" w:cs="方正仿宋简体"/>
          <w:bCs/>
          <w:sz w:val="32"/>
          <w:szCs w:val="32"/>
          <w:lang w:val="en-US"/>
        </w:rPr>
        <w:t>深耕品牌塑造，强化人才队伍建设。深入实施文化传承保护工程，系统挖掘整理本土特色文化资源，常态化举办极地摄影展、民俗文化节等品牌活动，持续提升“极地那曲”对外知名度和影响力。坚持引育并举，引进高端文旅策划、运营管理人才，培育本土专业化服务队伍，组建文旅发展专家智库，构建“党委领导、政府统筹、人大监督、部门联动、社会参与”的全域文旅发展格局。</w:t>
      </w:r>
    </w:p>
    <w:p w14:paraId="69CB9CA0">
      <w:pPr>
        <w:pStyle w:val="27"/>
        <w:spacing w:line="576" w:lineRule="exact"/>
        <w:ind w:firstLine="640" w:firstLineChars="200"/>
        <w:jc w:val="both"/>
        <w:outlineLvl w:val="1"/>
        <w:rPr>
          <w:rFonts w:ascii="Times New Roman" w:hAnsi="Times New Roman" w:eastAsia="方正楷体简体" w:cs="方正楷体简体"/>
          <w:bCs/>
          <w:sz w:val="32"/>
          <w:szCs w:val="32"/>
          <w:lang w:val="en-US" w:eastAsia="zh-CN"/>
        </w:rPr>
      </w:pPr>
      <w:bookmarkStart w:id="561" w:name="_Toc243241614"/>
      <w:r>
        <w:rPr>
          <w:rFonts w:ascii="Times New Roman" w:hAnsi="Times New Roman" w:eastAsia="方正楷体简体" w:cs="方正楷体简体"/>
          <w:bCs/>
          <w:sz w:val="32"/>
          <w:szCs w:val="32"/>
          <w:lang w:val="en-US" w:eastAsia="zh-CN"/>
        </w:rPr>
        <w:t>（五）绿色矿产业</w:t>
      </w:r>
      <w:bookmarkEnd w:id="561"/>
    </w:p>
    <w:p w14:paraId="4344861C">
      <w:pPr>
        <w:spacing w:line="576" w:lineRule="exact"/>
        <w:ind w:firstLine="640" w:firstLineChars="200"/>
        <w:jc w:val="both"/>
        <w:rPr>
          <w:rFonts w:hint="eastAsia" w:ascii="Times New Roman" w:hAnsi="Times New Roman" w:eastAsia="方正仿宋简体" w:cs="方正仿宋简体"/>
          <w:bCs/>
          <w:sz w:val="32"/>
          <w:szCs w:val="32"/>
          <w:lang w:val="en-US"/>
        </w:rPr>
      </w:pPr>
      <w:r>
        <w:rPr>
          <w:rFonts w:hint="eastAsia" w:ascii="Times New Roman" w:hAnsi="Times New Roman" w:eastAsia="方正仿宋简体" w:cs="方正仿宋简体"/>
          <w:bCs/>
          <w:sz w:val="32"/>
          <w:szCs w:val="32"/>
          <w:lang w:val="en-US"/>
        </w:rPr>
        <w:t>立足高原生态保护核心定位，坚持生态优先、绿色开发、科技赋能、共建共享，严格规范矿产资源勘查开发秩序，推动传统矿业向绿色化、智能化、集约化、高附加值化转型，实现资源有序开发、生态有效保护、群众稳定增收的良性循环。</w:t>
      </w:r>
      <w:r>
        <w:rPr>
          <w:rFonts w:hint="eastAsia" w:ascii="Times New Roman" w:hAnsi="Times New Roman" w:eastAsia="方正仿宋简体" w:cs="方正仿宋简体"/>
          <w:b/>
          <w:sz w:val="32"/>
          <w:szCs w:val="32"/>
          <w:lang w:val="en-US"/>
        </w:rPr>
        <w:t>一是</w:t>
      </w:r>
      <w:r>
        <w:rPr>
          <w:rFonts w:hint="eastAsia" w:ascii="Times New Roman" w:hAnsi="Times New Roman" w:eastAsia="方正仿宋简体" w:cs="方正仿宋简体"/>
          <w:bCs/>
          <w:sz w:val="32"/>
          <w:szCs w:val="32"/>
          <w:lang w:val="en-US"/>
        </w:rPr>
        <w:t>严守生态准入底线，规范开发建设标准。全面贯彻《中华人民共和国青藏高原生态保护法》，深度融入国家生态文明高地、羌塘国家公园建设总体布局，将生态保护贯穿矿产开发全流程。严格执行生态保护红线、环境质量底线、资源利用上线管控要求，从严审批矿业项目，坚决杜绝破坏性、粗放式开发，守住高原生态安全屏障；</w:t>
      </w:r>
      <w:r>
        <w:rPr>
          <w:rFonts w:hint="eastAsia" w:ascii="Times New Roman" w:hAnsi="Times New Roman" w:eastAsia="方正仿宋简体" w:cs="方正仿宋简体"/>
          <w:b/>
          <w:sz w:val="32"/>
          <w:szCs w:val="32"/>
          <w:lang w:val="en-US"/>
        </w:rPr>
        <w:t>二是</w:t>
      </w:r>
      <w:r>
        <w:rPr>
          <w:rFonts w:hint="eastAsia" w:ascii="Times New Roman" w:hAnsi="Times New Roman" w:eastAsia="方正仿宋简体" w:cs="方正仿宋简体"/>
          <w:bCs/>
          <w:sz w:val="32"/>
          <w:szCs w:val="32"/>
          <w:lang w:val="en-US"/>
        </w:rPr>
        <w:t>强化科技创新赋能，推行绿色智能开发。积极引进适配高海拔环境的绿色勘查、智能开采、资源综合利用先进技术和成套设备，全面替代传统粗放开采模式。推进绿色矿山标准化建设，优化矿产开采、加工、储运全流程环保工艺，最大限度降低资源损耗和生态扰动，提升资源集约高效利用水平；</w:t>
      </w:r>
      <w:r>
        <w:rPr>
          <w:rFonts w:hint="eastAsia" w:ascii="Times New Roman" w:hAnsi="Times New Roman" w:eastAsia="方正仿宋简体" w:cs="方正仿宋简体"/>
          <w:b/>
          <w:sz w:val="32"/>
          <w:szCs w:val="32"/>
          <w:lang w:val="en-US"/>
        </w:rPr>
        <w:t>三是</w:t>
      </w:r>
      <w:r>
        <w:rPr>
          <w:rFonts w:hint="eastAsia" w:ascii="Times New Roman" w:hAnsi="Times New Roman" w:eastAsia="方正仿宋简体" w:cs="方正仿宋简体"/>
          <w:bCs/>
          <w:sz w:val="32"/>
          <w:szCs w:val="32"/>
          <w:lang w:val="en-US"/>
        </w:rPr>
        <w:t>创新利益联结机制，推动地企共建共享。健全矿产资源开发收益共享机制，探索推行市县乡村四级利益分配模式，落实地方合理股权占比，切实保障地方政府、集体经济组织和农牧民合法权益。引导工矿企业主动履行社会责任，优先吸纳本地劳动力、采购本地物资、配套民生项目，构建资源开发、社区发展、群众增收共赢格局；</w:t>
      </w:r>
      <w:r>
        <w:rPr>
          <w:rFonts w:hint="eastAsia" w:ascii="Times New Roman" w:hAnsi="Times New Roman" w:eastAsia="方正仿宋简体" w:cs="方正仿宋简体"/>
          <w:b/>
          <w:sz w:val="32"/>
          <w:szCs w:val="32"/>
          <w:lang w:val="en-US"/>
        </w:rPr>
        <w:t>四是</w:t>
      </w:r>
      <w:r>
        <w:rPr>
          <w:rFonts w:hint="eastAsia" w:ascii="Times New Roman" w:hAnsi="Times New Roman" w:eastAsia="方正仿宋简体" w:cs="方正仿宋简体"/>
          <w:bCs/>
          <w:sz w:val="32"/>
          <w:szCs w:val="32"/>
          <w:lang w:val="en-US"/>
        </w:rPr>
        <w:t>优化政策监管服务，完善制度保障体系。健全多部门协同监管机制，细化绿色矿山建设、矿产开发、生态修复管理规范，明晰部门权责、规范行业秩序。持续深化</w:t>
      </w:r>
      <w:r>
        <w:rPr>
          <w:rFonts w:hint="eastAsia" w:ascii="Times New Roman" w:hAnsi="Times New Roman" w:eastAsia="方正仿宋简体" w:cs="方正仿宋简体"/>
          <w:bCs/>
          <w:sz w:val="32"/>
          <w:szCs w:val="32"/>
          <w:lang w:val="en-US" w:eastAsia="zh-CN"/>
        </w:rPr>
        <w:t>“</w:t>
      </w:r>
      <w:r>
        <w:rPr>
          <w:rFonts w:hint="eastAsia" w:ascii="Times New Roman" w:hAnsi="Times New Roman" w:eastAsia="方正仿宋简体" w:cs="方正仿宋简体"/>
          <w:bCs/>
          <w:sz w:val="32"/>
          <w:szCs w:val="32"/>
          <w:lang w:val="en-US"/>
        </w:rPr>
        <w:t>放管服</w:t>
      </w:r>
      <w:r>
        <w:rPr>
          <w:rFonts w:hint="eastAsia" w:ascii="Times New Roman" w:hAnsi="Times New Roman" w:eastAsia="方正仿宋简体" w:cs="方正仿宋简体"/>
          <w:bCs/>
          <w:sz w:val="32"/>
          <w:szCs w:val="32"/>
          <w:lang w:val="en-US" w:eastAsia="zh-CN"/>
        </w:rPr>
        <w:t>”</w:t>
      </w:r>
      <w:r>
        <w:rPr>
          <w:rFonts w:hint="eastAsia" w:ascii="Times New Roman" w:hAnsi="Times New Roman" w:eastAsia="方正仿宋简体" w:cs="方正仿宋简体"/>
          <w:bCs/>
          <w:sz w:val="32"/>
          <w:szCs w:val="32"/>
          <w:lang w:val="en-US"/>
        </w:rPr>
        <w:t>改革，优化矿业项目审批流程，强化全过程闭环监管，为企业合规经营、绿色发展提供制度保障；</w:t>
      </w:r>
      <w:r>
        <w:rPr>
          <w:rFonts w:hint="eastAsia" w:ascii="Times New Roman" w:hAnsi="Times New Roman" w:eastAsia="方正仿宋简体" w:cs="方正仿宋简体"/>
          <w:b/>
          <w:sz w:val="32"/>
          <w:szCs w:val="32"/>
          <w:lang w:val="en-US"/>
        </w:rPr>
        <w:t>五是</w:t>
      </w:r>
      <w:r>
        <w:rPr>
          <w:rFonts w:hint="eastAsia" w:ascii="Times New Roman" w:hAnsi="Times New Roman" w:eastAsia="方正仿宋简体" w:cs="方正仿宋简体"/>
          <w:bCs/>
          <w:sz w:val="32"/>
          <w:szCs w:val="32"/>
          <w:lang w:val="en-US"/>
        </w:rPr>
        <w:t>深化战略协同，延伸产业链条。主动融入国家战略矿产资源储备布局，依托那曲盐湖、稀有金属等优质战略资源，对接大型央企、国企，引进资金、技术、管理优势，推进矿产资源精深加工，延伸产业链、提升价值链，打造高原绿色战略矿产开发示范基地；</w:t>
      </w:r>
      <w:r>
        <w:rPr>
          <w:rFonts w:hint="eastAsia" w:ascii="Times New Roman" w:hAnsi="Times New Roman" w:eastAsia="方正仿宋简体" w:cs="方正仿宋简体"/>
          <w:b/>
          <w:sz w:val="32"/>
          <w:szCs w:val="32"/>
          <w:lang w:val="en-US"/>
        </w:rPr>
        <w:t>六是</w:t>
      </w:r>
      <w:r>
        <w:rPr>
          <w:rFonts w:hint="eastAsia" w:ascii="Times New Roman" w:hAnsi="Times New Roman" w:eastAsia="方正仿宋简体" w:cs="方正仿宋简体"/>
          <w:bCs/>
          <w:sz w:val="32"/>
          <w:szCs w:val="32"/>
          <w:lang w:val="en-US"/>
        </w:rPr>
        <w:t>统筹推进历史遗留废弃矿山生态修复，夯实那曲绿色矿业发展底线。立足羌塘高原高寒脆弱生态特征，坚持保护优先、自然恢复为主、人工修复为辅，动态更新历史遗留废弃矿山底数。优先整治交通干线、河谷廊道、草原核心区、生态敏感区内废弃矿坑、渣堆创面，同步消除滑坡、泥石流等地质灾害隐患。</w:t>
      </w:r>
      <w:bookmarkStart w:id="562" w:name="OLE_LINK223"/>
      <w:r>
        <w:rPr>
          <w:rFonts w:hint="eastAsia" w:ascii="Times New Roman" w:hAnsi="Times New Roman" w:eastAsia="方正仿宋简体" w:cs="方正仿宋简体"/>
          <w:bCs/>
          <w:sz w:val="32"/>
          <w:szCs w:val="32"/>
          <w:lang w:val="en-US"/>
        </w:rPr>
        <w:t>健全修复后期管护与动态监测机制，严格落实矿山修复图斑核查销号工作机制，推动历史生态欠账逐步清零，实现矿产开发、生态保护、绿色发展协同共进，构建与“三区四端五纵六横多点”那曲布局相匹配的绿色矿产业空间治理体系。</w:t>
      </w:r>
    </w:p>
    <w:bookmarkEnd w:id="562"/>
    <w:p w14:paraId="36D9ADCC">
      <w:pPr>
        <w:pStyle w:val="27"/>
        <w:spacing w:line="576" w:lineRule="exact"/>
        <w:ind w:firstLine="640" w:firstLineChars="200"/>
        <w:jc w:val="both"/>
        <w:outlineLvl w:val="1"/>
        <w:rPr>
          <w:rFonts w:ascii="Times New Roman" w:hAnsi="Times New Roman" w:eastAsia="方正楷体简体" w:cs="方正楷体简体"/>
          <w:bCs/>
          <w:sz w:val="32"/>
          <w:szCs w:val="32"/>
          <w:lang w:val="en-US" w:eastAsia="zh-CN"/>
        </w:rPr>
      </w:pPr>
      <w:bookmarkStart w:id="563" w:name="_Toc243241615"/>
      <w:r>
        <w:rPr>
          <w:rFonts w:ascii="Times New Roman" w:hAnsi="Times New Roman" w:eastAsia="方正楷体简体" w:cs="方正楷体简体"/>
          <w:bCs/>
          <w:sz w:val="32"/>
          <w:szCs w:val="32"/>
          <w:lang w:val="en-US" w:eastAsia="zh-CN"/>
        </w:rPr>
        <w:t>（六）交通物流产业</w:t>
      </w:r>
      <w:bookmarkEnd w:id="563"/>
    </w:p>
    <w:p w14:paraId="57ED4BD7">
      <w:pPr>
        <w:spacing w:line="576" w:lineRule="exact"/>
        <w:ind w:firstLine="640" w:firstLineChars="200"/>
        <w:jc w:val="both"/>
        <w:rPr>
          <w:rFonts w:ascii="Times New Roman" w:hAnsi="Times New Roman" w:eastAsia="方正仿宋简体" w:cs="方正仿宋简体"/>
          <w:bCs/>
          <w:sz w:val="32"/>
          <w:szCs w:val="32"/>
          <w:lang w:val="en-US"/>
        </w:rPr>
      </w:pPr>
      <w:r>
        <w:rPr>
          <w:rFonts w:hint="eastAsia" w:ascii="Times New Roman" w:hAnsi="Times New Roman" w:eastAsia="方正仿宋简体" w:cs="方正仿宋简体"/>
          <w:bCs/>
          <w:sz w:val="32"/>
          <w:szCs w:val="32"/>
          <w:lang w:val="en-US"/>
        </w:rPr>
        <w:t>立足西藏“北大门”区位优势，紧扣互联互通、降本增效、赋能产业、服务民生导向，持续完善现代化综合物流体系，打通内外联通、城乡贯通、产销互通的物流通道，将区位交通优势转化为产业发展优势、对外开放优势。</w:t>
      </w:r>
      <w:r>
        <w:rPr>
          <w:rFonts w:hint="eastAsia" w:ascii="Times New Roman" w:hAnsi="Times New Roman" w:eastAsia="方正仿宋简体" w:cs="方正仿宋简体"/>
          <w:b/>
          <w:sz w:val="32"/>
          <w:szCs w:val="32"/>
          <w:lang w:val="en-US"/>
        </w:rPr>
        <w:t>一是</w:t>
      </w:r>
      <w:r>
        <w:rPr>
          <w:rFonts w:hint="eastAsia" w:ascii="Times New Roman" w:hAnsi="Times New Roman" w:eastAsia="方正仿宋简体" w:cs="方正仿宋简体"/>
          <w:bCs/>
          <w:sz w:val="32"/>
          <w:szCs w:val="32"/>
          <w:lang w:val="en-US"/>
        </w:rPr>
        <w:t>完善物流基础设施网络，夯实产业承载底盘。深度融入“一带一路”和区域互联互通格局，全力推进“三横四纵四通道”公路骨架建设，加快</w:t>
      </w:r>
      <w:r>
        <w:rPr>
          <w:rFonts w:hint="eastAsia" w:ascii="Times New Roman" w:hAnsi="Times New Roman" w:eastAsia="方正仿宋简体" w:cs="方正仿宋简体"/>
          <w:bCs/>
          <w:sz w:val="32"/>
          <w:szCs w:val="28"/>
          <w:lang w:val="en-US" w:eastAsia="zh-CN"/>
        </w:rPr>
        <w:t>G6</w:t>
      </w:r>
      <w:r>
        <w:rPr>
          <w:rFonts w:hint="eastAsia" w:ascii="Times New Roman" w:hAnsi="Times New Roman" w:eastAsia="方正仿宋简体" w:cs="方正仿宋简体"/>
          <w:bCs/>
          <w:sz w:val="32"/>
          <w:szCs w:val="32"/>
          <w:lang w:val="en-US"/>
        </w:rPr>
        <w:t>京藏高速格尔木至那曲段等重点项目落地，巩固藏北陆路交通枢纽地位。健全县乡村三级寄递物流体系，建成标准化县级物流共配中心、村级物流服务站点，配套设备购置、运营扶持政策，全面畅通“工业品下乡、农特产品进城”双向流通渠道。提档升级那曲综合物流枢纽，引入智能分拣、物联网、智慧仓储设备，重点完善冷链物流设施，精准匹配农畜产品、矿产物资流通需求；</w:t>
      </w:r>
      <w:r>
        <w:rPr>
          <w:rFonts w:hint="eastAsia" w:ascii="Times New Roman" w:hAnsi="Times New Roman" w:eastAsia="方正仿宋简体" w:cs="方正仿宋简体"/>
          <w:b/>
          <w:sz w:val="32"/>
          <w:szCs w:val="32"/>
          <w:lang w:val="en-US"/>
        </w:rPr>
        <w:t>二是</w:t>
      </w:r>
      <w:r>
        <w:rPr>
          <w:rFonts w:hint="eastAsia" w:ascii="Times New Roman" w:hAnsi="Times New Roman" w:eastAsia="方正仿宋简体" w:cs="方正仿宋简体"/>
          <w:bCs/>
          <w:sz w:val="32"/>
          <w:szCs w:val="32"/>
          <w:lang w:val="en-US"/>
        </w:rPr>
        <w:t>创新融合运营模式，降低末端流通成本。持续深化“邮快合作、交邮融合、客货同网”发展模式，整合邮政、快递、客运、农村班线资源，依托客运班车捎带小件物资，盘活存量交通资源、降低牧区末端配送成本；</w:t>
      </w:r>
      <w:r>
        <w:rPr>
          <w:rFonts w:hint="eastAsia" w:ascii="Times New Roman" w:hAnsi="Times New Roman" w:eastAsia="方正仿宋简体" w:cs="方正仿宋简体"/>
          <w:b/>
          <w:sz w:val="32"/>
          <w:szCs w:val="32"/>
          <w:lang w:val="en-US"/>
        </w:rPr>
        <w:t>三是</w:t>
      </w:r>
      <w:r>
        <w:rPr>
          <w:rFonts w:hint="eastAsia" w:ascii="Times New Roman" w:hAnsi="Times New Roman" w:eastAsia="方正仿宋简体" w:cs="方正仿宋简体"/>
          <w:bCs/>
          <w:sz w:val="32"/>
          <w:szCs w:val="32"/>
          <w:lang w:val="en-US"/>
        </w:rPr>
        <w:t>推进智慧绿色转型，提升综合发展质效。依托数字技术搭建智慧物流服务平台，整合票务、运输、调度、售后等功能，实现物流运营数字化、智能化管控。推广新能源运输车辆、低碳仓储模式，推进绿色低碳物流园区建设，助力全市“双碳”目标落地。深化“交通+产业”融合，依托完善物流网络全方位支撑特色产品外销、文旅产业发展、应急物资保供；</w:t>
      </w:r>
      <w:bookmarkStart w:id="564" w:name="OLE_LINK224"/>
      <w:r>
        <w:rPr>
          <w:rFonts w:hint="eastAsia" w:ascii="Times New Roman" w:hAnsi="Times New Roman" w:eastAsia="方正仿宋简体" w:cs="方正仿宋简体"/>
          <w:b/>
          <w:sz w:val="32"/>
          <w:szCs w:val="32"/>
          <w:lang w:val="en-US"/>
        </w:rPr>
        <w:t>四是</w:t>
      </w:r>
      <w:r>
        <w:rPr>
          <w:rFonts w:ascii="Times New Roman" w:hAnsi="Times New Roman" w:eastAsia="方正仿宋简体" w:cs="方正仿宋简体"/>
          <w:bCs/>
          <w:sz w:val="32"/>
          <w:szCs w:val="32"/>
          <w:lang w:val="en-US"/>
        </w:rPr>
        <w:t>强化政策人才支撑，厚植产业发展生态。</w:t>
      </w:r>
      <w:r>
        <w:rPr>
          <w:rFonts w:hint="eastAsia" w:ascii="Times New Roman" w:hAnsi="Times New Roman" w:eastAsia="方正仿宋简体" w:cs="方正仿宋简体"/>
          <w:bCs/>
          <w:sz w:val="32"/>
          <w:szCs w:val="32"/>
          <w:lang w:val="en-US"/>
        </w:rPr>
        <w:t>强化顶层统筹，明晰部门职责，推行物流项目“一站式”审批服务，持续优化营商环境。设立物流产业专项扶持资金，对园区入驻企业、设备升级、冷链建设给予精准补贴。深化援藏人才合作，定向培育本地物流运营、大数据运维、供应链管理专业人才，筑牢物流产业现代化发展人力支撑。</w:t>
      </w:r>
      <w:bookmarkEnd w:id="564"/>
    </w:p>
    <w:p w14:paraId="4583640D">
      <w:pPr>
        <w:pStyle w:val="27"/>
        <w:spacing w:line="576" w:lineRule="exact"/>
        <w:ind w:firstLine="640" w:firstLineChars="200"/>
        <w:jc w:val="both"/>
        <w:outlineLvl w:val="1"/>
        <w:rPr>
          <w:rFonts w:ascii="Times New Roman" w:hAnsi="Times New Roman" w:eastAsia="方正楷体简体" w:cs="方正楷体简体"/>
          <w:bCs/>
          <w:sz w:val="32"/>
          <w:szCs w:val="32"/>
          <w:lang w:val="en-US" w:eastAsia="zh-CN"/>
        </w:rPr>
      </w:pPr>
      <w:bookmarkStart w:id="565" w:name="_Toc243241616"/>
      <w:r>
        <w:rPr>
          <w:rFonts w:ascii="Times New Roman" w:hAnsi="Times New Roman" w:eastAsia="方正楷体简体" w:cs="方正楷体简体"/>
          <w:bCs/>
          <w:sz w:val="32"/>
          <w:szCs w:val="32"/>
          <w:lang w:val="en-US" w:eastAsia="zh-CN"/>
        </w:rPr>
        <w:t>（七）民族手工业</w:t>
      </w:r>
      <w:bookmarkEnd w:id="565"/>
    </w:p>
    <w:p w14:paraId="5CA2249B">
      <w:pPr>
        <w:spacing w:line="576" w:lineRule="exact"/>
        <w:ind w:firstLine="640" w:firstLineChars="200"/>
        <w:jc w:val="both"/>
        <w:rPr>
          <w:rFonts w:ascii="Times New Roman" w:hAnsi="Times New Roman" w:eastAsia="方正仿宋简体" w:cs="方正仿宋简体"/>
          <w:bCs/>
          <w:sz w:val="32"/>
          <w:szCs w:val="32"/>
          <w:lang w:val="en-US"/>
        </w:rPr>
      </w:pPr>
      <w:r>
        <w:rPr>
          <w:rFonts w:hint="eastAsia" w:ascii="Times New Roman" w:hAnsi="Times New Roman" w:eastAsia="方正仿宋简体" w:cs="方正仿宋简体"/>
          <w:bCs/>
          <w:sz w:val="32"/>
          <w:szCs w:val="32"/>
          <w:lang w:val="en-US"/>
        </w:rPr>
        <w:t>立足那曲深厚民族文化底蕴，坚持传承为基、创新为要、市场为导向、富民为目标，推动传统“指尖技艺”向现代“指尖经济”转型，实现文化活态传承、产业提质增效、群众稳定增收。</w:t>
      </w:r>
      <w:r>
        <w:rPr>
          <w:rFonts w:hint="eastAsia" w:ascii="Times New Roman" w:hAnsi="Times New Roman" w:eastAsia="方正仿宋简体" w:cs="方正仿宋简体"/>
          <w:b/>
          <w:sz w:val="32"/>
          <w:szCs w:val="32"/>
          <w:lang w:val="en-US"/>
        </w:rPr>
        <w:t>一是</w:t>
      </w:r>
      <w:r>
        <w:rPr>
          <w:rFonts w:hint="eastAsia" w:ascii="Times New Roman" w:hAnsi="Times New Roman" w:eastAsia="方正仿宋简体" w:cs="方正仿宋简体"/>
          <w:bCs/>
          <w:sz w:val="32"/>
          <w:szCs w:val="32"/>
          <w:lang w:val="en-US"/>
        </w:rPr>
        <w:t>强化人才传承培育，夯实产业发展根基。构建系统化、常态化手工艺人才培育体系，围绕技艺提升、产品创新、品牌运营、市场销售开展专项培训。发挥非遗传承人“传帮带”作用，完善技艺传承扶持政策，壮大本土手工艺人才队伍。深化职业教育与传统工艺融合，吸引青年群体投身手工业传承发展，依托全市技能人才储备资源，持续释放人才集聚效应；</w:t>
      </w:r>
      <w:bookmarkStart w:id="566" w:name="OLE_LINK226"/>
      <w:r>
        <w:rPr>
          <w:rFonts w:hint="eastAsia" w:ascii="Times New Roman" w:hAnsi="Times New Roman" w:eastAsia="方正仿宋简体" w:cs="方正仿宋简体"/>
          <w:b/>
          <w:sz w:val="32"/>
          <w:szCs w:val="32"/>
          <w:lang w:val="en-US"/>
        </w:rPr>
        <w:t>二是</w:t>
      </w:r>
      <w:r>
        <w:rPr>
          <w:rFonts w:hint="eastAsia" w:ascii="Times New Roman" w:hAnsi="Times New Roman" w:eastAsia="方正仿宋简体" w:cs="方正仿宋简体"/>
          <w:bCs/>
          <w:sz w:val="32"/>
          <w:szCs w:val="32"/>
          <w:lang w:val="en-US"/>
        </w:rPr>
        <w:t>拓宽市场销售渠道，激活产业发展活力。大力发展电商直播、线上展销等新业态，依托新媒体平台打通线上销路，</w:t>
      </w:r>
      <w:r>
        <w:rPr>
          <w:rFonts w:ascii="Times New Roman" w:hAnsi="Times New Roman" w:eastAsia="方正仿宋简体" w:cs="方正仿宋简体"/>
          <w:bCs/>
          <w:sz w:val="32"/>
          <w:szCs w:val="32"/>
          <w:lang w:val="en-US"/>
        </w:rPr>
        <w:t>推动线上营销与线下产销对接有机联动，扩大特色产品市场覆盖面。</w:t>
      </w:r>
      <w:bookmarkEnd w:id="566"/>
      <w:r>
        <w:rPr>
          <w:rFonts w:hint="eastAsia" w:ascii="Times New Roman" w:hAnsi="Times New Roman" w:eastAsia="方正仿宋简体" w:cs="方正仿宋简体"/>
          <w:bCs/>
          <w:sz w:val="32"/>
          <w:szCs w:val="32"/>
          <w:lang w:val="en-US"/>
        </w:rPr>
        <w:t>完善农村电商物流配套，降低产品寄递成本、提升流通效率。</w:t>
      </w:r>
      <w:bookmarkStart w:id="567" w:name="OLE_LINK229"/>
      <w:r>
        <w:rPr>
          <w:rFonts w:ascii="Times New Roman" w:hAnsi="Times New Roman" w:eastAsia="方正仿宋简体" w:cs="方正仿宋简体"/>
          <w:bCs/>
          <w:sz w:val="32"/>
          <w:szCs w:val="32"/>
          <w:lang w:val="en-US"/>
        </w:rPr>
        <w:t>依托恰青赛马节、西藏文化艺术节等重大平台开展线下展销，持续释放展会展销带动效应，拓展手工艺品线下展示交易场景，后续将持续扩大展会推介成效，全面提升那曲手工艺品市场知名度和占有率</w:t>
      </w:r>
      <w:r>
        <w:rPr>
          <w:rFonts w:hint="eastAsia" w:ascii="Times New Roman" w:hAnsi="Times New Roman" w:eastAsia="方正仿宋简体" w:cs="方正仿宋简体"/>
          <w:bCs/>
          <w:sz w:val="32"/>
          <w:szCs w:val="32"/>
          <w:lang w:val="en-US"/>
        </w:rPr>
        <w:t>；</w:t>
      </w:r>
      <w:bookmarkEnd w:id="567"/>
      <w:r>
        <w:rPr>
          <w:rFonts w:hint="eastAsia" w:ascii="Times New Roman" w:hAnsi="Times New Roman" w:eastAsia="方正仿宋简体" w:cs="方正仿宋简体"/>
          <w:b/>
          <w:sz w:val="32"/>
          <w:szCs w:val="32"/>
          <w:lang w:val="en-US"/>
        </w:rPr>
        <w:t>三是</w:t>
      </w:r>
      <w:r>
        <w:rPr>
          <w:rFonts w:hint="eastAsia" w:ascii="Times New Roman" w:hAnsi="Times New Roman" w:eastAsia="方正仿宋简体" w:cs="方正仿宋简体"/>
          <w:bCs/>
          <w:sz w:val="32"/>
          <w:szCs w:val="32"/>
          <w:lang w:val="en-US"/>
        </w:rPr>
        <w:t>推动产品创新融合，提升产业附加值。坚持守正创新，在保留传统技艺、文化内核的基础上，融入现代设计理念，开发兼具文化性、实用性、时尚性的文创产品。深化“非遗+文旅+特色产业”跨界融合，打造手工艺体验业态、旅游文创产品，联动藏医药、畜牧产业开发特色衍生产品，丰富产品矩阵、拓宽增值空间；</w:t>
      </w:r>
      <w:r>
        <w:rPr>
          <w:rFonts w:hint="eastAsia" w:ascii="Times New Roman" w:hAnsi="Times New Roman" w:eastAsia="方正仿宋简体" w:cs="方正仿宋简体"/>
          <w:b/>
          <w:sz w:val="32"/>
          <w:szCs w:val="32"/>
          <w:lang w:val="en-US"/>
        </w:rPr>
        <w:t>四是</w:t>
      </w:r>
      <w:r>
        <w:rPr>
          <w:rFonts w:hint="eastAsia" w:ascii="Times New Roman" w:hAnsi="Times New Roman" w:eastAsia="方正仿宋简体" w:cs="方正仿宋简体"/>
          <w:bCs/>
          <w:sz w:val="32"/>
          <w:szCs w:val="32"/>
          <w:lang w:val="en-US"/>
        </w:rPr>
        <w:t>强化品牌政策赋能，优化产业发展生态。加大非遗工坊、手工业主体政策、资金、场地、税费扶持力度，培育壮大市场主体。统筹打造那曲民族手工业区域公共品牌，推进地理标志、品质认证体系建设，突出高原绿色、纯手工、原生态核心优势。</w:t>
      </w:r>
    </w:p>
    <w:p w14:paraId="53633F00">
      <w:pPr>
        <w:pStyle w:val="27"/>
        <w:spacing w:line="576" w:lineRule="exact"/>
        <w:ind w:firstLine="640" w:firstLineChars="200"/>
        <w:jc w:val="both"/>
        <w:outlineLvl w:val="1"/>
        <w:rPr>
          <w:rFonts w:ascii="Times New Roman" w:hAnsi="Times New Roman" w:eastAsia="方正楷体简体" w:cs="方正楷体简体"/>
          <w:bCs/>
          <w:sz w:val="32"/>
          <w:szCs w:val="32"/>
          <w:lang w:val="en-US" w:eastAsia="zh-CN"/>
        </w:rPr>
      </w:pPr>
      <w:bookmarkStart w:id="568" w:name="_Toc243241617"/>
      <w:bookmarkStart w:id="569" w:name="OLE_LINK230"/>
      <w:r>
        <w:rPr>
          <w:rFonts w:ascii="Times New Roman" w:hAnsi="Times New Roman" w:eastAsia="方正楷体简体" w:cs="方正楷体简体"/>
          <w:bCs/>
          <w:sz w:val="32"/>
          <w:szCs w:val="32"/>
          <w:lang w:val="en-US" w:eastAsia="zh-CN"/>
        </w:rPr>
        <w:t>（八）高原特色种植业</w:t>
      </w:r>
      <w:bookmarkEnd w:id="568"/>
    </w:p>
    <w:p w14:paraId="2174C409">
      <w:pPr>
        <w:spacing w:line="576" w:lineRule="exact"/>
        <w:ind w:firstLine="640" w:firstLineChars="200"/>
        <w:jc w:val="both"/>
        <w:rPr>
          <w:rFonts w:hint="eastAsia" w:ascii="Times New Roman" w:hAnsi="Times New Roman" w:eastAsia="方正仿宋简体" w:cs="方正仿宋简体"/>
          <w:bCs/>
          <w:sz w:val="32"/>
          <w:szCs w:val="32"/>
          <w:lang w:val="en-US" w:eastAsia="zh-CN"/>
        </w:rPr>
      </w:pPr>
      <w:r>
        <w:rPr>
          <w:rFonts w:hint="eastAsia" w:ascii="Times New Roman" w:hAnsi="Times New Roman" w:eastAsia="方正仿宋简体" w:cs="方正仿宋简体"/>
          <w:bCs/>
          <w:sz w:val="32"/>
          <w:szCs w:val="32"/>
          <w:lang w:val="en-US"/>
        </w:rPr>
        <w:t>立足那曲高海拔客观自然条件，坚持生态适配、科技赋能、因地制宜、高效富民原则，缓解高海拔环境对种植业发展带来的约束，构建设施完善、品种优良、技术先进、生态友好、品牌突出的现代高原特色种植业体系。</w:t>
      </w:r>
      <w:bookmarkEnd w:id="569"/>
      <w:r>
        <w:rPr>
          <w:rFonts w:hint="eastAsia" w:ascii="Times New Roman" w:hAnsi="Times New Roman" w:eastAsia="方正仿宋简体" w:cs="方正仿宋简体"/>
          <w:b/>
          <w:sz w:val="32"/>
          <w:szCs w:val="32"/>
          <w:lang w:val="en-US"/>
        </w:rPr>
        <w:t>一是</w:t>
      </w:r>
      <w:r>
        <w:rPr>
          <w:rFonts w:hint="eastAsia" w:ascii="Times New Roman" w:hAnsi="Times New Roman" w:eastAsia="方正仿宋简体" w:cs="方正仿宋简体"/>
          <w:bCs/>
          <w:sz w:val="32"/>
          <w:szCs w:val="32"/>
          <w:lang w:val="en-US"/>
        </w:rPr>
        <w:t>强化科技赋能攻关，突破自然发展瓶颈。深化政企研协同合作，持续开展高海拔适配作物品种选育、引进、试验、推广，扩大“黑美人”土豆等高产优质品种种植规模，构建“科研+示范+推广”全链条发展模式。大力推广智能温室、节水滴灌、温控栽培等农业技术，破解高海拔种植难题，实现高寒地区瓜果蔬菜四季稳产保供。设立农技推广专项基金，常态化开展农技下乡、技术指导服务，提升农牧民科学种植水平；</w:t>
      </w:r>
      <w:r>
        <w:rPr>
          <w:rFonts w:hint="eastAsia" w:ascii="Times New Roman" w:hAnsi="Times New Roman" w:eastAsia="方正仿宋简体" w:cs="方正仿宋简体"/>
          <w:b/>
          <w:sz w:val="32"/>
          <w:szCs w:val="32"/>
          <w:lang w:val="en-US"/>
        </w:rPr>
        <w:t>二是</w:t>
      </w:r>
      <w:r>
        <w:rPr>
          <w:rFonts w:hint="eastAsia" w:ascii="Times New Roman" w:hAnsi="Times New Roman" w:eastAsia="方正仿宋简体" w:cs="方正仿宋简体"/>
          <w:bCs/>
          <w:sz w:val="32"/>
          <w:szCs w:val="32"/>
          <w:lang w:val="en-US"/>
        </w:rPr>
        <w:t>创新产业运营模式，健全利益联结机制。全面推广“党支部+合作社+牧户”标准化运营模式，强化党建引领、合作社统筹、群众参与的发展格局。创新推行投工投劳积分管理制度，将群众参与种植、管护、培训等劳动转化为积分，可兑换实物、现金或年度分红，充分激发牧民内生动力，构建“资源变资产、资金变股金、牧民变股东”的共赢格局；</w:t>
      </w:r>
      <w:bookmarkStart w:id="570" w:name="OLE_LINK233"/>
      <w:r>
        <w:rPr>
          <w:rFonts w:hint="eastAsia" w:ascii="Times New Roman" w:hAnsi="Times New Roman" w:eastAsia="方正仿宋简体" w:cs="方正仿宋简体"/>
          <w:b/>
          <w:sz w:val="32"/>
          <w:szCs w:val="32"/>
          <w:lang w:val="en-US"/>
        </w:rPr>
        <w:t>三是</w:t>
      </w:r>
      <w:r>
        <w:rPr>
          <w:rFonts w:hint="eastAsia" w:ascii="Times New Roman" w:hAnsi="Times New Roman" w:eastAsia="方正仿宋简体" w:cs="方正仿宋简体"/>
          <w:bCs/>
          <w:sz w:val="32"/>
          <w:szCs w:val="32"/>
          <w:lang w:val="en-US"/>
        </w:rPr>
        <w:t>深耕品牌市场建设，拓宽产销对接渠道。聚焦高原绿色、生态、无污染核心优势，依托“极地那曲”公共品牌矩阵赋能种植业产品，推进青稞、芫根等地理标志产品认证，讲好高原种植产业故事，提升产品溢价能力。构建“线上+线下”立体化销售体系，线上推广“供销+电商+快递”一体化模式，依托直播带货拓宽全国市场；线下依托援藏机制搭建东部直销窗口，借助各类展会平台扩大品牌影响力；</w:t>
      </w:r>
      <w:bookmarkEnd w:id="570"/>
      <w:bookmarkStart w:id="571" w:name="OLE_LINK234"/>
      <w:r>
        <w:rPr>
          <w:rFonts w:hint="eastAsia" w:ascii="Times New Roman" w:hAnsi="Times New Roman" w:eastAsia="方正仿宋简体" w:cs="方正仿宋简体"/>
          <w:b/>
          <w:sz w:val="32"/>
          <w:szCs w:val="32"/>
          <w:lang w:val="en-US"/>
        </w:rPr>
        <w:t>四是</w:t>
      </w:r>
      <w:r>
        <w:rPr>
          <w:rFonts w:hint="eastAsia" w:ascii="Times New Roman" w:hAnsi="Times New Roman" w:eastAsia="方正仿宋简体" w:cs="方正仿宋简体"/>
          <w:bCs/>
          <w:sz w:val="32"/>
          <w:szCs w:val="32"/>
          <w:lang w:val="en-US"/>
        </w:rPr>
        <w:t>坚守生态发展红线，推动绿色可持续发展。严格遵循高原生态保护要求，遴选生态兼容性强、适宜高寒环境的作物品种与绿色栽培技术，全面推广有机种植模式，严控化肥农药使用。</w:t>
      </w:r>
      <w:bookmarkEnd w:id="571"/>
      <w:r>
        <w:rPr>
          <w:rFonts w:hint="eastAsia" w:ascii="Times New Roman" w:hAnsi="Times New Roman" w:eastAsia="方正仿宋简体" w:cs="方正仿宋简体"/>
          <w:bCs/>
          <w:sz w:val="32"/>
          <w:szCs w:val="32"/>
          <w:lang w:val="en-US"/>
        </w:rPr>
        <w:t>将生态影响评估贯穿种植产业规划、建设、运营全过程，实现产业发展与生态修复协同推进。适度开发采摘体验、田园观光等生态业态，推动生态资源向经济价值转化；</w:t>
      </w:r>
      <w:r>
        <w:rPr>
          <w:rFonts w:hint="eastAsia" w:ascii="Times New Roman" w:hAnsi="Times New Roman" w:eastAsia="方正仿宋简体" w:cs="方正仿宋简体"/>
          <w:b/>
          <w:sz w:val="32"/>
          <w:szCs w:val="32"/>
          <w:lang w:val="en-US"/>
        </w:rPr>
        <w:t>五是</w:t>
      </w:r>
      <w:r>
        <w:rPr>
          <w:rFonts w:hint="eastAsia" w:ascii="Times New Roman" w:hAnsi="Times New Roman" w:eastAsia="方正仿宋简体" w:cs="方正仿宋简体"/>
          <w:bCs/>
          <w:sz w:val="32"/>
          <w:szCs w:val="32"/>
          <w:lang w:val="en-US"/>
        </w:rPr>
        <w:t>完善基础政策保障，夯实产业发展支撑。持续推进水利灌溉、田间道路、冷链仓储等基础设施建设，依托梅帕塘水库等重点工程，有效改善全域种植灌溉条件。出台针对性产业扶持政策，在土地流转、信贷融资、税费减免、人才引进等方面精准赋能。持续深化“放管服”改革，优化营商环境，积极撬动社会资本参与高原特色种植业发展，全面激活产业发展活力。</w:t>
      </w:r>
    </w:p>
    <w:bookmarkEnd w:id="539"/>
    <w:bookmarkEnd w:id="540"/>
    <w:p w14:paraId="1791495D">
      <w:pPr>
        <w:pStyle w:val="27"/>
        <w:spacing w:line="576" w:lineRule="exact"/>
        <w:ind w:firstLine="640" w:firstLineChars="200"/>
        <w:jc w:val="both"/>
        <w:outlineLvl w:val="1"/>
        <w:rPr>
          <w:rFonts w:ascii="Times New Roman" w:hAnsi="Times New Roman" w:eastAsia="方正楷体简体" w:cs="方正楷体简体"/>
          <w:bCs/>
          <w:sz w:val="32"/>
          <w:szCs w:val="32"/>
          <w:lang w:val="en-US" w:eastAsia="zh-CN"/>
        </w:rPr>
      </w:pPr>
      <w:bookmarkStart w:id="572" w:name="_Toc243241618"/>
      <w:bookmarkStart w:id="573" w:name="_Toc218422305"/>
      <w:r>
        <w:rPr>
          <w:rFonts w:hint="eastAsia" w:ascii="Times New Roman" w:hAnsi="Times New Roman" w:eastAsia="方正楷体简体" w:cs="方正楷体简体"/>
          <w:bCs/>
          <w:sz w:val="32"/>
          <w:szCs w:val="32"/>
          <w:lang w:val="en-US" w:eastAsia="zh-CN"/>
        </w:rPr>
        <w:t>（九）天然饮用水产业</w:t>
      </w:r>
      <w:bookmarkEnd w:id="572"/>
    </w:p>
    <w:p w14:paraId="3BB84230">
      <w:pPr>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eastAsia="zh-CN"/>
        </w:rPr>
        <w:t>立足世界级极地水源禀赋，紧扣由特色潜力产业向战略性支柱产业迭代进阶目标，坚持生态优先、有序开发、科技赋能、品牌引领，统筹水源保护、产能建设、市场开拓与富民增收，构建生态可控、产能适度、品牌突出、效益彰显的高原天然饮用水产业体系。</w:t>
      </w:r>
      <w:r>
        <w:rPr>
          <w:rFonts w:hint="eastAsia" w:ascii="Times New Roman" w:hAnsi="Times New Roman" w:eastAsia="方正仿宋简体" w:cs="方正仿宋简体"/>
          <w:b/>
          <w:bCs w:val="0"/>
          <w:sz w:val="32"/>
          <w:szCs w:val="28"/>
          <w:lang w:eastAsia="zh-CN"/>
        </w:rPr>
        <w:t>一是</w:t>
      </w:r>
      <w:r>
        <w:rPr>
          <w:rFonts w:hint="eastAsia" w:ascii="Times New Roman" w:hAnsi="Times New Roman" w:eastAsia="方正仿宋简体" w:cs="方正仿宋简体"/>
          <w:bCs/>
          <w:sz w:val="32"/>
          <w:szCs w:val="28"/>
          <w:lang w:eastAsia="zh-CN"/>
        </w:rPr>
        <w:t>严守水源生态保护红线，夯实绿色开发根基。围绕“一塔四源”重点水源地集群，健全常态化水源勘察、水文水质动态监测机制，严格落实水资源开发利用管控红线。统筹冰川、湖泊生态保护与产业开发，完善水源地管护制度，科学把控开发强度，坚持在保护前提下开展资源开发，守住产业赖以发展的原生态资源本底。强化水源保护宣传引导，压实企业生态保护主体责任，实现极地水源可持续利用；</w:t>
      </w:r>
      <w:r>
        <w:rPr>
          <w:rFonts w:hint="eastAsia" w:ascii="Times New Roman" w:hAnsi="Times New Roman" w:eastAsia="方正仿宋简体" w:cs="方正仿宋简体"/>
          <w:b/>
          <w:bCs w:val="0"/>
          <w:sz w:val="32"/>
          <w:szCs w:val="28"/>
          <w:lang w:eastAsia="zh-CN"/>
        </w:rPr>
        <w:t>二是</w:t>
      </w:r>
      <w:r>
        <w:rPr>
          <w:rFonts w:hint="eastAsia" w:ascii="Times New Roman" w:hAnsi="Times New Roman" w:eastAsia="方正仿宋简体" w:cs="方正仿宋简体"/>
          <w:bCs/>
          <w:sz w:val="32"/>
          <w:szCs w:val="28"/>
          <w:lang w:eastAsia="zh-CN"/>
        </w:rPr>
        <w:t>强化科技装备赋能，提升生产加工质效。按照全域规划产能布局，有序推进水厂智能化升级改造，推广适配高海拔低温环境的净水、灌装成套工艺装备，健全原水、半成品、成品全流程质量检测管控体系，持续提升产品加工合格率与生产精细化水平。加快藏北水产业物流集散中心硬件提档升级，补齐仓储、包装配套短板，完善生产配套链条。搭建全链条溯源数据库，配置二维码溯源载体，打通生产端与消费端信息链路；</w:t>
      </w:r>
      <w:r>
        <w:rPr>
          <w:rFonts w:hint="eastAsia" w:ascii="Times New Roman" w:hAnsi="Times New Roman" w:eastAsia="方正仿宋简体" w:cs="方正仿宋简体"/>
          <w:b/>
          <w:bCs w:val="0"/>
          <w:sz w:val="32"/>
          <w:szCs w:val="28"/>
          <w:lang w:eastAsia="zh-CN"/>
        </w:rPr>
        <w:t>三是</w:t>
      </w:r>
      <w:r>
        <w:rPr>
          <w:rFonts w:hint="eastAsia" w:ascii="Times New Roman" w:hAnsi="Times New Roman" w:eastAsia="方正仿宋简体" w:cs="方正仿宋简体"/>
          <w:bCs/>
          <w:sz w:val="32"/>
          <w:szCs w:val="28"/>
          <w:lang w:eastAsia="zh-CN"/>
        </w:rPr>
        <w:t>做强特色品牌矩阵，拓宽内外市场空间。深度借力“西藏好水”省级公共品牌，重点培育“极地好水（那水）”区域特色品牌。深挖不同水源地锂、锶、偏硅酸等差异化水质特质，开发高端功能水、极地文创定制水、礼赠用水等多元化产品，丰富产品供给矩阵。充分用好出藏运费补贴政策，依托电商平台、区内外展销推介会、机关单位定点采购等多元渠道，持续扩大产品市场覆盖面，提升极地饮用水品牌辨识度与产品溢价；</w:t>
      </w:r>
      <w:r>
        <w:rPr>
          <w:rFonts w:hint="eastAsia" w:ascii="Times New Roman" w:hAnsi="Times New Roman" w:eastAsia="方正仿宋简体" w:cs="方正仿宋简体"/>
          <w:b/>
          <w:bCs w:val="0"/>
          <w:sz w:val="32"/>
          <w:szCs w:val="28"/>
          <w:lang w:eastAsia="zh-CN"/>
        </w:rPr>
        <w:t>四是</w:t>
      </w:r>
      <w:r>
        <w:rPr>
          <w:rFonts w:hint="eastAsia" w:ascii="Times New Roman" w:hAnsi="Times New Roman" w:eastAsia="方正仿宋简体" w:cs="方正仿宋简体"/>
          <w:bCs/>
          <w:sz w:val="32"/>
          <w:szCs w:val="28"/>
          <w:lang w:eastAsia="zh-CN"/>
        </w:rPr>
        <w:t>深化产业融合发展，健全富民利益联结机制。推动天然饮用水产业与文旅产业深度融合，适度开发水源科普、工业观光体验等新业态。健全企业、集体、群众利益联结模式，吸纳本地群众、返乡大学生参与水源巡护管护、生产加工、仓储物流、品牌营销各环节就业。依托对口援藏机制强化招商引资，引进培育龙头市场主体，带动群众就近就地就业增收，实现产业提质与民生改善双向共赢；</w:t>
      </w:r>
      <w:r>
        <w:rPr>
          <w:rFonts w:hint="eastAsia" w:ascii="Times New Roman" w:hAnsi="Times New Roman" w:eastAsia="方正仿宋简体" w:cs="方正仿宋简体"/>
          <w:b/>
          <w:bCs w:val="0"/>
          <w:sz w:val="32"/>
          <w:szCs w:val="28"/>
          <w:lang w:eastAsia="zh-CN"/>
        </w:rPr>
        <w:t>五是</w:t>
      </w:r>
      <w:r>
        <w:rPr>
          <w:rFonts w:hint="eastAsia" w:ascii="Times New Roman" w:hAnsi="Times New Roman" w:eastAsia="方正仿宋简体" w:cs="方正仿宋简体"/>
          <w:bCs/>
          <w:sz w:val="32"/>
          <w:szCs w:val="28"/>
          <w:lang w:eastAsia="zh-CN"/>
        </w:rPr>
        <w:t>优化政策服务保障，培育壮大市场主体。落实自治区天然饮用水产业专项扶持政策，用好智能化改造、招商引资等扶持举措。持续深化“放管服”改革，优化项目审批流程，强化要素保障，引导市场主体规范发展，推动产业稳步向战略性支柱产业迭代升级。</w:t>
      </w:r>
    </w:p>
    <w:p w14:paraId="26CFF744">
      <w:pPr>
        <w:pStyle w:val="27"/>
        <w:spacing w:line="576" w:lineRule="exact"/>
        <w:ind w:firstLine="640" w:firstLineChars="200"/>
        <w:jc w:val="both"/>
        <w:outlineLvl w:val="1"/>
        <w:rPr>
          <w:rFonts w:ascii="Times New Roman" w:hAnsi="Times New Roman" w:eastAsia="方正楷体简体" w:cs="方正楷体简体"/>
          <w:bCs/>
          <w:sz w:val="32"/>
          <w:szCs w:val="32"/>
          <w:lang w:val="en-US" w:eastAsia="zh-CN"/>
        </w:rPr>
      </w:pPr>
      <w:bookmarkStart w:id="574" w:name="_Toc243241619"/>
      <w:r>
        <w:rPr>
          <w:rFonts w:hint="eastAsia" w:ascii="Times New Roman" w:hAnsi="Times New Roman" w:eastAsia="方正楷体简体" w:cs="方正楷体简体"/>
          <w:bCs/>
          <w:sz w:val="32"/>
          <w:szCs w:val="32"/>
          <w:lang w:val="en-US" w:eastAsia="zh-CN"/>
        </w:rPr>
        <w:t>（十）卤虫卵产业</w:t>
      </w:r>
      <w:bookmarkEnd w:id="574"/>
    </w:p>
    <w:p w14:paraId="134DBEA7">
      <w:pPr>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eastAsia="zh-CN"/>
        </w:rPr>
        <w:t>立足高原特有生物资源，严守生态底线，量力发展高附加值精深加工产业，不盲目拔高产值预期，严守生态配额捕捞制度，坚持保护优先、限量开发、精深增值、品牌赋能发展思路，推动产业由原料毛料外销向高附加值特色生物产业转型，打造高原特色生物产业新增长极。</w:t>
      </w:r>
      <w:r>
        <w:rPr>
          <w:rFonts w:hint="eastAsia" w:ascii="Times New Roman" w:hAnsi="Times New Roman" w:eastAsia="方正仿宋简体" w:cs="方正仿宋简体"/>
          <w:b/>
          <w:bCs w:val="0"/>
          <w:sz w:val="32"/>
          <w:szCs w:val="28"/>
          <w:lang w:eastAsia="zh-CN"/>
        </w:rPr>
        <w:t>一是</w:t>
      </w:r>
      <w:r>
        <w:rPr>
          <w:rFonts w:hint="eastAsia" w:ascii="Times New Roman" w:hAnsi="Times New Roman" w:eastAsia="方正仿宋简体" w:cs="方正仿宋简体"/>
          <w:bCs/>
          <w:sz w:val="32"/>
          <w:szCs w:val="28"/>
          <w:lang w:eastAsia="zh-CN"/>
        </w:rPr>
        <w:t>筑牢盐湖生态管控体系，实现资源可持续利用。严格落实生态配额捕捞管理制度，建立其香错重点盐湖常态化生态监测机制，动态开展盐湖水文、盐度、卤虫种质资源调查评估，科学核定年度捕捞规模。规范湖区捕捞作业流程，强化捕捞全过程现场监管，推行湖区垃圾常态化清理，严控人为活动对盐湖生态的扰动，实现盐湖生态保护和卤虫资源有序开发。发挥湖区临时党支部作用，做好政策宣讲、安全生产、生态保护宣传引导，压实群众生态保护主体责任；</w:t>
      </w:r>
      <w:r>
        <w:rPr>
          <w:rFonts w:hint="eastAsia" w:ascii="Times New Roman" w:hAnsi="Times New Roman" w:eastAsia="方正仿宋简体" w:cs="方正仿宋简体"/>
          <w:b/>
          <w:bCs w:val="0"/>
          <w:sz w:val="32"/>
          <w:szCs w:val="28"/>
          <w:lang w:eastAsia="zh-CN"/>
        </w:rPr>
        <w:t>二是</w:t>
      </w:r>
      <w:r>
        <w:rPr>
          <w:rFonts w:hint="eastAsia" w:ascii="Times New Roman" w:hAnsi="Times New Roman" w:eastAsia="方正仿宋简体" w:cs="方正仿宋简体"/>
          <w:bCs/>
          <w:sz w:val="32"/>
          <w:szCs w:val="28"/>
          <w:lang w:eastAsia="zh-CN"/>
        </w:rPr>
        <w:t>推进加工装备迭代升级，提升标准化生产水平。持续升级深加工厂加工设施，优化清洗脱盐、壳卵分离、智能分选成套生产工艺，完善孵化率、营养组分、微生物指标快速检测能力，稳定成品品质。联动科研院所开展技术攻关，深挖现有产能技改潜力，巩固精深加工增值成效。补齐高原冷链仓储、冷藏运输硬件短板，完善原料储存、成品外运配套设施，破解高海拔物流制约瓶颈；</w:t>
      </w:r>
      <w:r>
        <w:rPr>
          <w:rFonts w:hint="eastAsia" w:ascii="Times New Roman" w:hAnsi="Times New Roman" w:eastAsia="方正仿宋简体" w:cs="方正仿宋简体"/>
          <w:b/>
          <w:bCs w:val="0"/>
          <w:sz w:val="32"/>
          <w:szCs w:val="28"/>
          <w:lang w:eastAsia="zh-CN"/>
        </w:rPr>
        <w:t>三是</w:t>
      </w:r>
      <w:r>
        <w:rPr>
          <w:rFonts w:hint="eastAsia" w:ascii="Times New Roman" w:hAnsi="Times New Roman" w:eastAsia="方正仿宋简体" w:cs="方正仿宋简体"/>
          <w:bCs/>
          <w:sz w:val="32"/>
          <w:szCs w:val="28"/>
          <w:lang w:eastAsia="zh-CN"/>
        </w:rPr>
        <w:t>延伸高附加值产业链条，拓展多元市场赛道。在稳固水产育苗核心市场基础上，积极开拓宠物饲料、生物功能原料等新兴应用领域，推动产品由初级饵料向多元化高附加值生物原料转型。常态化参与区内外水产行业专场推介对接会，稳固产销对接渠道，持续拓展国内市场；</w:t>
      </w:r>
      <w:r>
        <w:rPr>
          <w:rFonts w:hint="eastAsia" w:ascii="Times New Roman" w:hAnsi="Times New Roman" w:eastAsia="方正仿宋简体" w:cs="方正仿宋简体"/>
          <w:b/>
          <w:bCs w:val="0"/>
          <w:sz w:val="32"/>
          <w:szCs w:val="28"/>
          <w:lang w:eastAsia="zh-CN"/>
        </w:rPr>
        <w:t>四是</w:t>
      </w:r>
      <w:r>
        <w:rPr>
          <w:rFonts w:hint="eastAsia" w:ascii="Times New Roman" w:hAnsi="Times New Roman" w:eastAsia="方正仿宋简体" w:cs="方正仿宋简体"/>
          <w:bCs/>
          <w:sz w:val="32"/>
          <w:szCs w:val="28"/>
          <w:lang w:eastAsia="zh-CN"/>
        </w:rPr>
        <w:t>培育区域公共品牌，释放产业富民带动效能。聚力打造“极地海金沙”区域公共品牌，突出高海拔原生态品质标签，强化品牌宣传推介。探索盐湖生态观光、卤虫科普研学等“产业+文旅”融合新业态。健全利益联结机制，规范捕捞群众收益分配，带动盐湖管护、规范捕捞、厂区务工群众稳定增收，加大本土技术实操人才培育力度，巩固拓展脱贫攻坚成果，助力乡村全面振兴；</w:t>
      </w:r>
      <w:r>
        <w:rPr>
          <w:rFonts w:hint="eastAsia" w:ascii="Times New Roman" w:hAnsi="Times New Roman" w:eastAsia="方正仿宋简体" w:cs="方正仿宋简体"/>
          <w:b/>
          <w:bCs w:val="0"/>
          <w:sz w:val="32"/>
          <w:szCs w:val="28"/>
          <w:lang w:eastAsia="zh-CN"/>
        </w:rPr>
        <w:t>五是</w:t>
      </w:r>
      <w:r>
        <w:rPr>
          <w:rFonts w:hint="eastAsia" w:ascii="Times New Roman" w:hAnsi="Times New Roman" w:eastAsia="方正仿宋简体" w:cs="方正仿宋简体"/>
          <w:bCs/>
          <w:sz w:val="32"/>
          <w:szCs w:val="28"/>
          <w:lang w:eastAsia="zh-CN"/>
        </w:rPr>
        <w:t>强化政策科技协同保障，夯实产业发展支撑。用好援藏项目资金、科技专项，深化区内外科研院所产学研合作，在种质资源、加工工艺、质量标准方面开展联合攻关。优化项目要素保障，强化行业监管，引导产业走限量、精品、高效的发展路子。</w:t>
      </w:r>
    </w:p>
    <w:p w14:paraId="2897C311">
      <w:pPr>
        <w:pStyle w:val="27"/>
        <w:spacing w:line="576" w:lineRule="exact"/>
        <w:ind w:firstLine="640" w:firstLineChars="200"/>
        <w:jc w:val="both"/>
        <w:outlineLvl w:val="1"/>
        <w:rPr>
          <w:rFonts w:ascii="Times New Roman" w:hAnsi="Times New Roman" w:eastAsia="方正楷体简体" w:cs="方正楷体简体"/>
          <w:bCs/>
          <w:sz w:val="32"/>
          <w:szCs w:val="32"/>
          <w:lang w:val="en-US" w:eastAsia="zh-CN"/>
        </w:rPr>
      </w:pPr>
      <w:bookmarkStart w:id="575" w:name="_Toc243241620"/>
      <w:r>
        <w:rPr>
          <w:rFonts w:hint="eastAsia" w:ascii="Times New Roman" w:hAnsi="Times New Roman" w:eastAsia="方正楷体简体" w:cs="方正楷体简体"/>
          <w:bCs/>
          <w:sz w:val="32"/>
          <w:szCs w:val="32"/>
          <w:lang w:val="en-US" w:eastAsia="zh-CN"/>
        </w:rPr>
        <w:t>（十一）低空经济</w:t>
      </w:r>
      <w:bookmarkEnd w:id="575"/>
    </w:p>
    <w:p w14:paraId="61233811">
      <w:pPr>
        <w:spacing w:line="576" w:lineRule="exact"/>
        <w:ind w:firstLine="640" w:firstLineChars="200"/>
        <w:jc w:val="both"/>
        <w:rPr>
          <w:rFonts w:hint="eastAsia" w:ascii="Times New Roman" w:hAnsi="Times New Roman" w:eastAsia="方正仿宋简体" w:cs="方正仿宋简体"/>
          <w:bCs/>
          <w:sz w:val="32"/>
          <w:szCs w:val="28"/>
          <w:lang w:val="en-US" w:eastAsia="zh-CN"/>
        </w:rPr>
      </w:pPr>
      <w:r>
        <w:rPr>
          <w:rFonts w:hint="eastAsia" w:ascii="Times New Roman" w:hAnsi="Times New Roman" w:eastAsia="方正仿宋简体" w:cs="方正仿宋简体"/>
          <w:bCs/>
          <w:sz w:val="32"/>
          <w:szCs w:val="28"/>
          <w:lang w:eastAsia="zh-CN"/>
        </w:rPr>
        <w:t>立足高原地广人稀的现实禀赋，紧扣新兴战略产业培育定位，坚持试点先行、场景牵引、安全有序、绿色发展原则，构建高原特色低空应用服务体系，着力打造藏北高原低空经济应用示范中心。</w:t>
      </w:r>
      <w:r>
        <w:rPr>
          <w:rFonts w:hint="eastAsia" w:ascii="Times New Roman" w:hAnsi="Times New Roman" w:eastAsia="方正仿宋简体" w:cs="方正仿宋简体"/>
          <w:b/>
          <w:bCs w:val="0"/>
          <w:sz w:val="32"/>
          <w:szCs w:val="28"/>
          <w:lang w:eastAsia="zh-CN"/>
        </w:rPr>
        <w:t>一是</w:t>
      </w:r>
      <w:r>
        <w:rPr>
          <w:rFonts w:hint="eastAsia" w:ascii="Times New Roman" w:hAnsi="Times New Roman" w:eastAsia="方正仿宋简体" w:cs="方正仿宋简体"/>
          <w:bCs/>
          <w:sz w:val="32"/>
          <w:szCs w:val="28"/>
          <w:lang w:eastAsia="zh-CN"/>
        </w:rPr>
        <w:t>统筹基础设施布局，筑牢低空运行安全底座。科学布局通用机场、分布式起降点，配套场站运维保障设施。依托北斗、5G+卫星通感一体化技术，补齐高原远距离通信监管短板，建设那曲高原低空智能管控大数据平台，构建空天地一体化调度监管体系，统筹飞行调度、态势感知、风险预警、应急指挥，保障各类飞行作业安全有序开展；</w:t>
      </w:r>
      <w:r>
        <w:rPr>
          <w:rFonts w:hint="eastAsia" w:ascii="Times New Roman" w:hAnsi="Times New Roman" w:eastAsia="方正仿宋简体" w:cs="方正仿宋简体"/>
          <w:b/>
          <w:bCs w:val="0"/>
          <w:sz w:val="32"/>
          <w:szCs w:val="28"/>
          <w:lang w:eastAsia="zh-CN"/>
        </w:rPr>
        <w:t>二是</w:t>
      </w:r>
      <w:r>
        <w:rPr>
          <w:rFonts w:hint="eastAsia" w:ascii="Times New Roman" w:hAnsi="Times New Roman" w:eastAsia="方正仿宋简体" w:cs="方正仿宋简体"/>
          <w:bCs/>
          <w:sz w:val="32"/>
          <w:szCs w:val="28"/>
          <w:lang w:eastAsia="zh-CN"/>
        </w:rPr>
        <w:t>优先做强示范场景，推进业态规模化落地。优先做强草场巡护、野生动物监测、草原防火、边境管控、雪灾地质灾害应急救援等政务刚需场景；稳步拓展偏远牧区低空物资投送、农牧产品外运等民生服务场景；有序开发空中观光、冰川研学航拍等文旅体验场景。充分用好自治区航线奖励政策，培育一批常态化运营飞行航线，形成“政务刚需为主、商业场景补充”的应用格局；</w:t>
      </w:r>
      <w:r>
        <w:rPr>
          <w:rFonts w:hint="eastAsia" w:ascii="Times New Roman" w:hAnsi="Times New Roman" w:eastAsia="方正仿宋简体" w:cs="方正仿宋简体"/>
          <w:b/>
          <w:bCs w:val="0"/>
          <w:sz w:val="32"/>
          <w:szCs w:val="28"/>
          <w:lang w:eastAsia="zh-CN"/>
        </w:rPr>
        <w:t>三是</w:t>
      </w:r>
      <w:r>
        <w:rPr>
          <w:rFonts w:hint="eastAsia" w:ascii="Times New Roman" w:hAnsi="Times New Roman" w:eastAsia="方正仿宋简体" w:cs="方正仿宋简体"/>
          <w:bCs/>
          <w:sz w:val="32"/>
          <w:szCs w:val="28"/>
          <w:lang w:eastAsia="zh-CN"/>
        </w:rPr>
        <w:t>强化高原技术攻关，探索构建地方技术标准。发挥高海拔航空器天然测试场优势，联合科研机构、航空企业攻关高原无人机动力系统、低温储能、抗乱流飞控等关键技术，迭代适配4500米以上海拔作业的航空器装备。依托本地试飞实测数据，探索建立高原机型运行、设备运维、现场作业的地方技术标准体系；</w:t>
      </w:r>
      <w:r>
        <w:rPr>
          <w:rFonts w:hint="eastAsia" w:ascii="Times New Roman" w:hAnsi="Times New Roman" w:eastAsia="方正仿宋简体" w:cs="方正仿宋简体"/>
          <w:b/>
          <w:bCs w:val="0"/>
          <w:sz w:val="32"/>
          <w:szCs w:val="28"/>
          <w:lang w:eastAsia="zh-CN"/>
        </w:rPr>
        <w:t>四是</w:t>
      </w:r>
      <w:r>
        <w:rPr>
          <w:rFonts w:hint="eastAsia" w:ascii="Times New Roman" w:hAnsi="Times New Roman" w:eastAsia="方正仿宋简体" w:cs="方正仿宋简体"/>
          <w:bCs/>
          <w:sz w:val="32"/>
          <w:szCs w:val="28"/>
          <w:lang w:eastAsia="zh-CN"/>
        </w:rPr>
        <w:t>深化产业跨界融合，培育本土技能人才队伍。大力发展“低空+畜牧、低空+文旅、低空+天然饮用水、低空+清洁能源、低空+交通物流”融合业态，赋能传统特色产业数字化升级。推广“公司+合作社+牧户”运营模式，培育无人机操控、场站运维、航空维保等本土技能人才，吸纳本地青年、返乡大学生就近就业；</w:t>
      </w:r>
      <w:r>
        <w:rPr>
          <w:rFonts w:hint="eastAsia" w:ascii="Times New Roman" w:hAnsi="Times New Roman" w:eastAsia="方正仿宋简体" w:cs="方正仿宋简体"/>
          <w:b/>
          <w:bCs w:val="0"/>
          <w:sz w:val="32"/>
          <w:szCs w:val="28"/>
          <w:lang w:eastAsia="zh-CN"/>
        </w:rPr>
        <w:t>五是</w:t>
      </w:r>
      <w:r>
        <w:rPr>
          <w:rFonts w:hint="eastAsia" w:ascii="Times New Roman" w:hAnsi="Times New Roman" w:eastAsia="方正仿宋简体" w:cs="方正仿宋简体"/>
          <w:bCs/>
          <w:sz w:val="32"/>
          <w:szCs w:val="28"/>
          <w:lang w:eastAsia="zh-CN"/>
        </w:rPr>
        <w:t>健全政策监管体系，引导产业精品化发展。坚持精品化、特需型发展定位，摒弃粗放式规模扩张。落实自治区通用航空“1+N”政策体系，强化飞行安全闭环监管。依托援藏机制引进运营市场主体，积累高原低空运营成套经验，向外输出高原低空解决方案，持续塑造区域差异化竞争优势。</w:t>
      </w:r>
    </w:p>
    <w:p w14:paraId="1F2ADCAA">
      <w:pPr>
        <w:pStyle w:val="27"/>
        <w:spacing w:line="576" w:lineRule="exact"/>
        <w:ind w:firstLine="640" w:firstLineChars="200"/>
        <w:jc w:val="both"/>
        <w:outlineLvl w:val="1"/>
        <w:rPr>
          <w:rFonts w:ascii="Times New Roman" w:hAnsi="Times New Roman" w:eastAsia="方正楷体简体" w:cs="方正楷体简体"/>
          <w:bCs/>
          <w:sz w:val="32"/>
          <w:szCs w:val="32"/>
          <w:lang w:val="en-US" w:eastAsia="zh-CN"/>
        </w:rPr>
      </w:pPr>
      <w:bookmarkStart w:id="576" w:name="_Toc243241621"/>
      <w:r>
        <w:rPr>
          <w:rFonts w:hint="eastAsia" w:ascii="Times New Roman" w:hAnsi="Times New Roman" w:eastAsia="方正楷体简体" w:cs="方正楷体简体"/>
          <w:bCs/>
          <w:sz w:val="32"/>
          <w:szCs w:val="32"/>
          <w:lang w:val="en-US" w:eastAsia="zh-CN"/>
        </w:rPr>
        <w:t>（十二）算力经济</w:t>
      </w:r>
      <w:bookmarkEnd w:id="576"/>
    </w:p>
    <w:bookmarkEnd w:id="549"/>
    <w:p w14:paraId="6427DF4B">
      <w:pPr>
        <w:spacing w:line="576" w:lineRule="exact"/>
        <w:ind w:firstLine="640" w:firstLineChars="200"/>
        <w:jc w:val="both"/>
        <w:rPr>
          <w:rFonts w:hint="eastAsia" w:ascii="Times New Roman" w:hAnsi="Times New Roman" w:eastAsia="方正仿宋简体" w:cs="方正仿宋简体"/>
          <w:bCs/>
          <w:sz w:val="32"/>
          <w:szCs w:val="32"/>
          <w:lang w:val="en-US" w:eastAsia="zh-CN"/>
        </w:rPr>
      </w:pPr>
      <w:r>
        <w:rPr>
          <w:rFonts w:hint="eastAsia" w:ascii="Times New Roman" w:hAnsi="Times New Roman" w:eastAsia="方正仿宋简体" w:cs="方正仿宋简体"/>
          <w:bCs/>
          <w:sz w:val="32"/>
          <w:szCs w:val="32"/>
          <w:lang w:eastAsia="zh-CN"/>
        </w:rPr>
        <w:t>立足高原天然冷源、全域清洁能源资源禀赋，对标西藏“算力珠峰”高质量发展行动计划，坚持差异化定位、特色化发展路径，着力建设全区特色边缘算力节点，培育数字经济全新增长引擎。</w:t>
      </w:r>
      <w:r>
        <w:rPr>
          <w:rFonts w:hint="eastAsia" w:ascii="Times New Roman" w:hAnsi="Times New Roman" w:eastAsia="方正仿宋简体" w:cs="方正仿宋简体"/>
          <w:b/>
          <w:bCs w:val="0"/>
          <w:sz w:val="32"/>
          <w:szCs w:val="32"/>
          <w:lang w:eastAsia="zh-CN"/>
        </w:rPr>
        <w:t>一是</w:t>
      </w:r>
      <w:r>
        <w:rPr>
          <w:rFonts w:hint="eastAsia" w:ascii="Times New Roman" w:hAnsi="Times New Roman" w:eastAsia="方正仿宋简体" w:cs="方正仿宋简体"/>
          <w:bCs/>
          <w:sz w:val="32"/>
          <w:szCs w:val="32"/>
          <w:lang w:eastAsia="zh-CN"/>
        </w:rPr>
        <w:t>夯实算网一体化底座，深度融入全国算力网络。持续完善5G通信、光缆等数字基础设施，打通跨区域算力高速直连传输通道。有序推进智算节点、那曲数据分中心扩容建设，统筹通用算力、智能算力、边缘算力协同布局，健全数据灾备、网络安全防护体系，落实“东数西存、东数西训、本地智算”调度模式，深度融入全国一体化算力网络；</w:t>
      </w:r>
      <w:r>
        <w:rPr>
          <w:rFonts w:hint="eastAsia" w:ascii="Times New Roman" w:hAnsi="Times New Roman" w:eastAsia="方正仿宋简体" w:cs="方正仿宋简体"/>
          <w:b/>
          <w:bCs w:val="0"/>
          <w:sz w:val="32"/>
          <w:szCs w:val="32"/>
          <w:lang w:eastAsia="zh-CN"/>
        </w:rPr>
        <w:t>二是</w:t>
      </w:r>
      <w:r>
        <w:rPr>
          <w:rFonts w:hint="eastAsia" w:ascii="Times New Roman" w:hAnsi="Times New Roman" w:eastAsia="方正仿宋简体" w:cs="方正仿宋简体"/>
          <w:bCs/>
          <w:sz w:val="32"/>
          <w:szCs w:val="32"/>
          <w:lang w:eastAsia="zh-CN"/>
        </w:rPr>
        <w:t>攻坚绿色算力技术，充分释放高原资源优势。依托高原天然冷源条件，联合援藏科研力量攻关高原机房散热、设备低温防护、电气系统高海拔绝缘衰减等关键技术，持续优化数据中心电源使用效率（PUE）指标。健全“风光绿电+绿色算力”协同匹配调度机制，推动绿电供给与算力负荷动态适配。依托实际运行数据，探索形成高原数据中心建设、运维、能耗管控地方技术标准；</w:t>
      </w:r>
      <w:r>
        <w:rPr>
          <w:rFonts w:hint="eastAsia" w:ascii="Times New Roman" w:hAnsi="Times New Roman" w:eastAsia="方正仿宋简体" w:cs="方正仿宋简体"/>
          <w:b/>
          <w:bCs w:val="0"/>
          <w:sz w:val="32"/>
          <w:szCs w:val="32"/>
          <w:lang w:eastAsia="zh-CN"/>
        </w:rPr>
        <w:t>三是</w:t>
      </w:r>
      <w:r>
        <w:rPr>
          <w:rFonts w:hint="eastAsia" w:ascii="Times New Roman" w:hAnsi="Times New Roman" w:eastAsia="方正仿宋简体" w:cs="方正仿宋简体"/>
          <w:bCs/>
          <w:sz w:val="32"/>
          <w:szCs w:val="32"/>
          <w:lang w:eastAsia="zh-CN"/>
        </w:rPr>
        <w:t>深化“算力+N”数实融合，拓展多元服务场景。面向东部承接离线存储、灾备备份、AI模型训练等外溢算力业务；面向本地释放低时延边缘算力，有力支撑智慧牧业、低空智管、生态遥感监测、文旅数字化、矿区监管等产业数字化改造。拓展数据标注、行业数据分析、数字化解决方案等增值服务，推动从单纯算力硬件资源输出向“算力</w:t>
      </w:r>
      <w:r>
        <w:rPr>
          <w:rFonts w:hint="eastAsia" w:ascii="Times New Roman" w:hAnsi="Times New Roman" w:eastAsia="方正仿宋简体" w:cs="方正仿宋简体"/>
          <w:bCs/>
          <w:sz w:val="32"/>
          <w:szCs w:val="32"/>
          <w:lang w:eastAsia="zh-CN"/>
        </w:rPr>
        <w:noBreakHyphen/>
      </w:r>
      <w:r>
        <w:rPr>
          <w:rFonts w:hint="eastAsia" w:ascii="Times New Roman" w:hAnsi="Times New Roman" w:eastAsia="方正仿宋简体" w:cs="方正仿宋简体"/>
          <w:bCs/>
          <w:sz w:val="32"/>
          <w:szCs w:val="32"/>
          <w:lang w:eastAsia="zh-CN"/>
        </w:rPr>
        <w:t>数据</w:t>
      </w:r>
      <w:r>
        <w:rPr>
          <w:rFonts w:hint="eastAsia" w:ascii="Times New Roman" w:hAnsi="Times New Roman" w:eastAsia="方正仿宋简体" w:cs="方正仿宋简体"/>
          <w:bCs/>
          <w:sz w:val="32"/>
          <w:szCs w:val="32"/>
          <w:lang w:eastAsia="zh-CN"/>
        </w:rPr>
        <w:noBreakHyphen/>
      </w:r>
      <w:r>
        <w:rPr>
          <w:rFonts w:hint="eastAsia" w:ascii="Times New Roman" w:hAnsi="Times New Roman" w:eastAsia="方正仿宋简体" w:cs="方正仿宋简体"/>
          <w:bCs/>
          <w:sz w:val="32"/>
          <w:szCs w:val="32"/>
          <w:lang w:eastAsia="zh-CN"/>
        </w:rPr>
        <w:t>服务”一体化供给模式转变；</w:t>
      </w:r>
      <w:r>
        <w:rPr>
          <w:rFonts w:hint="eastAsia" w:ascii="Times New Roman" w:hAnsi="Times New Roman" w:eastAsia="方正仿宋简体" w:cs="方正仿宋简体"/>
          <w:b/>
          <w:bCs w:val="0"/>
          <w:sz w:val="32"/>
          <w:szCs w:val="32"/>
          <w:lang w:eastAsia="zh-CN"/>
        </w:rPr>
        <w:t>四是</w:t>
      </w:r>
      <w:r>
        <w:rPr>
          <w:rFonts w:hint="eastAsia" w:ascii="Times New Roman" w:hAnsi="Times New Roman" w:eastAsia="方正仿宋简体" w:cs="方正仿宋简体"/>
          <w:bCs/>
          <w:sz w:val="32"/>
          <w:szCs w:val="32"/>
          <w:lang w:eastAsia="zh-CN"/>
        </w:rPr>
        <w:t>坚持特色发展导向，健全富民利益联结机制。坚决不照搬中东部大规模算力枢纽扩张模式，严格管控能耗指标与建设规模。推广“算力平台+合作社+经营主体”下沉服务模式，依托援藏渠道引进数字领域市场主体，培育机房运维、网络保障、数据加工等本土数字技能人才，吸纳本地青年、返乡大学生就业；</w:t>
      </w:r>
      <w:r>
        <w:rPr>
          <w:rFonts w:hint="eastAsia" w:ascii="Times New Roman" w:hAnsi="Times New Roman" w:eastAsia="方正仿宋简体" w:cs="方正仿宋简体"/>
          <w:b/>
          <w:bCs w:val="0"/>
          <w:sz w:val="32"/>
          <w:szCs w:val="32"/>
          <w:lang w:eastAsia="zh-CN"/>
        </w:rPr>
        <w:t>五是</w:t>
      </w:r>
      <w:r>
        <w:rPr>
          <w:rFonts w:hint="eastAsia" w:ascii="Times New Roman" w:hAnsi="Times New Roman" w:eastAsia="方正仿宋简体" w:cs="方正仿宋简体"/>
          <w:bCs/>
          <w:sz w:val="32"/>
          <w:szCs w:val="32"/>
          <w:lang w:eastAsia="zh-CN"/>
        </w:rPr>
        <w:t>强化政策要素保障，优化数字产业营商环境。落实自治区算力专项扶持资金等政策，用好项目建设补贴等扶持举措。持续深化“放管服”改革，优化算力项目审批流程，统筹算力产业招商引资、人才引育，对接东部算力采购市场，打造藏北高原特色边缘算力示范节点。</w:t>
      </w:r>
      <w:bookmarkEnd w:id="573"/>
    </w:p>
    <w:sectPr>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embedRegular r:id="rId1" w:fontKey="{31F01BAA-325F-4AAF-9722-13C00038188C}"/>
  </w:font>
  <w:font w:name="方正仿宋_GB2312">
    <w:altName w:val="仿宋"/>
    <w:panose1 w:val="00000000000000000000"/>
    <w:charset w:val="86"/>
    <w:family w:val="auto"/>
    <w:pitch w:val="default"/>
    <w:sig w:usb0="00000000" w:usb1="00000000" w:usb2="00000012" w:usb3="00000000" w:csb0="00040001" w:csb1="00000000"/>
    <w:embedRegular r:id="rId2" w:fontKey="{9DDA8AD6-759D-4E6A-9565-ABE1A4A12019}"/>
  </w:font>
  <w:font w:name="仿宋">
    <w:panose1 w:val="02010609060101010101"/>
    <w:charset w:val="86"/>
    <w:family w:val="auto"/>
    <w:pitch w:val="default"/>
    <w:sig w:usb0="800002BF" w:usb1="38CF7CFA" w:usb2="00000016" w:usb3="00000000" w:csb0="00040001" w:csb1="00000000"/>
  </w:font>
  <w:font w:name="方正楷体简体">
    <w:panose1 w:val="03000509000000000000"/>
    <w:charset w:val="86"/>
    <w:family w:val="auto"/>
    <w:pitch w:val="default"/>
    <w:sig w:usb0="00000001" w:usb1="080E0000" w:usb2="00000000" w:usb3="00000000" w:csb0="00040000" w:csb1="00000000"/>
    <w:embedRegular r:id="rId3" w:fontKey="{CBC83452-6C64-4328-B795-33B514A28795}"/>
  </w:font>
  <w:font w:name="方正黑体简体">
    <w:panose1 w:val="02010601030101010101"/>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___WRD_EMBED_SUB_1372">
    <w:panose1 w:val="02010600030101010101"/>
    <w:charset w:val="86"/>
    <w:family w:val="auto"/>
    <w:pitch w:val="default"/>
    <w:sig w:usb0="00000203" w:usb1="288F0000" w:usb2="00000006" w:usb3="00000000" w:csb0="00040001" w:csb1="00000000"/>
    <w:embedRegular r:id="rId4" w:fontKey="{C1085075-8548-4DF0-91D9-AC71EA1FEBC5}"/>
  </w:font>
  <w:font w:name="WPSEMBED5">
    <w:panose1 w:val="02010600030101010101"/>
    <w:charset w:val="86"/>
    <w:family w:val="auto"/>
    <w:pitch w:val="default"/>
    <w:sig w:usb0="00000203" w:usb1="288F0000" w:usb2="00000006" w:usb3="00000000" w:csb0="00040001"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A99012">
    <w:pPr>
      <w:pStyle w:val="12"/>
      <w:rPr>
        <w:rFonts w:hint="eastAsia"/>
      </w:rPr>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CFB214">
                          <w:pPr>
                            <w:pStyle w:val="12"/>
                            <w:rPr>
                              <w:rFonts w:hint="eastAsia"/>
                              <w:sz w:val="28"/>
                              <w:szCs w:val="28"/>
                            </w:rPr>
                          </w:pPr>
                          <w:r>
                            <w:rPr>
                              <w:rFonts w:hint="eastAsia"/>
                              <w:sz w:val="28"/>
                              <w:szCs w:val="28"/>
                            </w:rPr>
                            <w:t xml:space="preserve">— </w:t>
                          </w: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rFonts w:hint="eastAsia"/>
                              <w:sz w:val="28"/>
                              <w:szCs w:val="28"/>
                            </w:rPr>
                            <w:t>1</w:t>
                          </w:r>
                          <w:r>
                            <w:rPr>
                              <w:rFonts w:hint="eastAsia"/>
                              <w:sz w:val="28"/>
                              <w:szCs w:val="28"/>
                            </w:rPr>
                            <w:fldChar w:fldCharType="end"/>
                          </w:r>
                          <w:r>
                            <w:rPr>
                              <w:rFonts w:hint="eastAsia"/>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20CFB214">
                    <w:pPr>
                      <w:pStyle w:val="12"/>
                      <w:rPr>
                        <w:rFonts w:hint="eastAsia"/>
                        <w:sz w:val="28"/>
                        <w:szCs w:val="28"/>
                      </w:rPr>
                    </w:pPr>
                    <w:r>
                      <w:rPr>
                        <w:rFonts w:hint="eastAsia"/>
                        <w:sz w:val="28"/>
                        <w:szCs w:val="28"/>
                      </w:rPr>
                      <w:t xml:space="preserve">— </w:t>
                    </w: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rFonts w:hint="eastAsia"/>
                        <w:sz w:val="28"/>
                        <w:szCs w:val="28"/>
                      </w:rPr>
                      <w:t>1</w:t>
                    </w:r>
                    <w:r>
                      <w:rPr>
                        <w:rFonts w:hint="eastAsia"/>
                        <w:sz w:val="28"/>
                        <w:szCs w:val="28"/>
                      </w:rPr>
                      <w:fldChar w:fldCharType="end"/>
                    </w:r>
                    <w:r>
                      <w:rPr>
                        <w:rFonts w:hint="eastAsia"/>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F1A263">
    <w:pPr>
      <w:pStyle w:val="12"/>
      <w:jc w:val="right"/>
      <w:rPr>
        <w:rFonts w:hint="eastAsia"/>
      </w:rP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E4A73C">
                          <w:pPr>
                            <w:pStyle w:val="12"/>
                            <w:rPr>
                              <w:rFonts w:hint="eastAsia"/>
                              <w:sz w:val="28"/>
                              <w:szCs w:val="28"/>
                            </w:rPr>
                          </w:pPr>
                          <w:r>
                            <w:rPr>
                              <w:rFonts w:hint="eastAsia"/>
                              <w:sz w:val="28"/>
                              <w:szCs w:val="28"/>
                            </w:rPr>
                            <w:t xml:space="preserve">— </w:t>
                          </w: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rFonts w:hint="eastAsia"/>
                              <w:sz w:val="28"/>
                              <w:szCs w:val="28"/>
                            </w:rPr>
                            <w:t>1</w:t>
                          </w:r>
                          <w:r>
                            <w:rPr>
                              <w:rFonts w:hint="eastAsia"/>
                              <w:sz w:val="28"/>
                              <w:szCs w:val="28"/>
                            </w:rPr>
                            <w:fldChar w:fldCharType="end"/>
                          </w:r>
                          <w:r>
                            <w:rPr>
                              <w:rFonts w:hint="eastAsia"/>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2FE4A73C">
                    <w:pPr>
                      <w:pStyle w:val="12"/>
                      <w:rPr>
                        <w:rFonts w:hint="eastAsia"/>
                        <w:sz w:val="28"/>
                        <w:szCs w:val="28"/>
                      </w:rPr>
                    </w:pPr>
                    <w:r>
                      <w:rPr>
                        <w:rFonts w:hint="eastAsia"/>
                        <w:sz w:val="28"/>
                        <w:szCs w:val="28"/>
                      </w:rPr>
                      <w:t xml:space="preserve">— </w:t>
                    </w: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rFonts w:hint="eastAsia"/>
                        <w:sz w:val="28"/>
                        <w:szCs w:val="28"/>
                      </w:rPr>
                      <w:t>1</w:t>
                    </w:r>
                    <w:r>
                      <w:rPr>
                        <w:rFonts w:hint="eastAsia"/>
                        <w:sz w:val="28"/>
                        <w:szCs w:val="28"/>
                      </w:rPr>
                      <w:fldChar w:fldCharType="end"/>
                    </w:r>
                    <w:r>
                      <w:rPr>
                        <w:rFonts w:hint="eastAsia"/>
                        <w:sz w:val="28"/>
                        <w:szCs w:val="28"/>
                      </w:rPr>
                      <w:t xml:space="preserve"> —</w:t>
                    </w:r>
                  </w:p>
                </w:txbxContent>
              </v:textbox>
            </v:shape>
          </w:pict>
        </mc:Fallback>
      </mc:AlternateContent>
    </w:r>
  </w:p>
  <w:p w14:paraId="04EF95B9">
    <w:pPr>
      <w:pStyle w:val="12"/>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129A3B">
    <w:pPr>
      <w:pStyle w:val="12"/>
      <w:jc w:val="right"/>
      <w:rPr>
        <w:rFonts w:hint="eastAsia"/>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4F75BA">
                          <w:pPr>
                            <w:pStyle w:val="12"/>
                            <w:rPr>
                              <w:rFonts w:hint="eastAsia"/>
                              <w:sz w:val="28"/>
                              <w:szCs w:val="28"/>
                            </w:rPr>
                          </w:pPr>
                          <w:r>
                            <w:rPr>
                              <w:rFonts w:hint="eastAsia"/>
                              <w:sz w:val="28"/>
                              <w:szCs w:val="28"/>
                            </w:rPr>
                            <w:t xml:space="preserve">— </w:t>
                          </w: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rFonts w:hint="eastAsia"/>
                              <w:sz w:val="28"/>
                              <w:szCs w:val="28"/>
                            </w:rPr>
                            <w:t>3</w:t>
                          </w:r>
                          <w:r>
                            <w:rPr>
                              <w:rFonts w:hint="eastAsia"/>
                              <w:sz w:val="28"/>
                              <w:szCs w:val="28"/>
                            </w:rPr>
                            <w:fldChar w:fldCharType="end"/>
                          </w:r>
                          <w:r>
                            <w:rPr>
                              <w:rFonts w:hint="eastAsia"/>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304F75BA">
                    <w:pPr>
                      <w:pStyle w:val="12"/>
                      <w:rPr>
                        <w:rFonts w:hint="eastAsia"/>
                        <w:sz w:val="28"/>
                        <w:szCs w:val="28"/>
                      </w:rPr>
                    </w:pPr>
                    <w:r>
                      <w:rPr>
                        <w:rFonts w:hint="eastAsia"/>
                        <w:sz w:val="28"/>
                        <w:szCs w:val="28"/>
                      </w:rPr>
                      <w:t xml:space="preserve">— </w:t>
                    </w: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rFonts w:hint="eastAsia"/>
                        <w:sz w:val="28"/>
                        <w:szCs w:val="28"/>
                      </w:rPr>
                      <w:t>3</w:t>
                    </w:r>
                    <w:r>
                      <w:rPr>
                        <w:rFonts w:hint="eastAsia"/>
                        <w:sz w:val="28"/>
                        <w:szCs w:val="28"/>
                      </w:rPr>
                      <w:fldChar w:fldCharType="end"/>
                    </w:r>
                    <w:r>
                      <w:rPr>
                        <w:rFonts w:hint="eastAsia"/>
                        <w:sz w:val="28"/>
                        <w:szCs w:val="28"/>
                      </w:rPr>
                      <w:t xml:space="preserve"> —</w:t>
                    </w:r>
                  </w:p>
                </w:txbxContent>
              </v:textbox>
            </v:shape>
          </w:pict>
        </mc:Fallback>
      </mc:AlternateContent>
    </w:r>
  </w:p>
  <w:p w14:paraId="5BB3ACDD">
    <w:pPr>
      <w:pStyle w:val="12"/>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1D7FFA"/>
    <w:rsid w:val="00000CB9"/>
    <w:rsid w:val="0000100F"/>
    <w:rsid w:val="00001CAC"/>
    <w:rsid w:val="00003A7D"/>
    <w:rsid w:val="000047F1"/>
    <w:rsid w:val="000059CD"/>
    <w:rsid w:val="00005EAB"/>
    <w:rsid w:val="00007C61"/>
    <w:rsid w:val="00016AFC"/>
    <w:rsid w:val="000237A4"/>
    <w:rsid w:val="00024FD5"/>
    <w:rsid w:val="000311B8"/>
    <w:rsid w:val="000422C4"/>
    <w:rsid w:val="00043E72"/>
    <w:rsid w:val="000447A4"/>
    <w:rsid w:val="00045653"/>
    <w:rsid w:val="0005500D"/>
    <w:rsid w:val="000577BF"/>
    <w:rsid w:val="0006108B"/>
    <w:rsid w:val="000644E3"/>
    <w:rsid w:val="000662ED"/>
    <w:rsid w:val="00066B9F"/>
    <w:rsid w:val="00070BE8"/>
    <w:rsid w:val="00070C59"/>
    <w:rsid w:val="000728C6"/>
    <w:rsid w:val="000734F7"/>
    <w:rsid w:val="00074089"/>
    <w:rsid w:val="00077844"/>
    <w:rsid w:val="00077953"/>
    <w:rsid w:val="000813FF"/>
    <w:rsid w:val="00082B41"/>
    <w:rsid w:val="00085664"/>
    <w:rsid w:val="00085D83"/>
    <w:rsid w:val="000A06AC"/>
    <w:rsid w:val="000A06C4"/>
    <w:rsid w:val="000A27DF"/>
    <w:rsid w:val="000A2CA9"/>
    <w:rsid w:val="000A582C"/>
    <w:rsid w:val="000A6A00"/>
    <w:rsid w:val="000B00D1"/>
    <w:rsid w:val="000B07F6"/>
    <w:rsid w:val="000B41CB"/>
    <w:rsid w:val="000B65E0"/>
    <w:rsid w:val="000C1D97"/>
    <w:rsid w:val="000C26A4"/>
    <w:rsid w:val="000C26AE"/>
    <w:rsid w:val="000D2DB2"/>
    <w:rsid w:val="000D4ACA"/>
    <w:rsid w:val="000D4CC9"/>
    <w:rsid w:val="000D6461"/>
    <w:rsid w:val="000E083D"/>
    <w:rsid w:val="000E2C57"/>
    <w:rsid w:val="000E349E"/>
    <w:rsid w:val="000E4467"/>
    <w:rsid w:val="000E451D"/>
    <w:rsid w:val="000E59EE"/>
    <w:rsid w:val="000E62E9"/>
    <w:rsid w:val="000E671E"/>
    <w:rsid w:val="000F0A47"/>
    <w:rsid w:val="000F581B"/>
    <w:rsid w:val="000F5B08"/>
    <w:rsid w:val="000F7477"/>
    <w:rsid w:val="000F7A01"/>
    <w:rsid w:val="00104F56"/>
    <w:rsid w:val="00107456"/>
    <w:rsid w:val="00112AAC"/>
    <w:rsid w:val="001130B4"/>
    <w:rsid w:val="00113715"/>
    <w:rsid w:val="0011386D"/>
    <w:rsid w:val="001138A0"/>
    <w:rsid w:val="00114CB7"/>
    <w:rsid w:val="00115A86"/>
    <w:rsid w:val="00116F85"/>
    <w:rsid w:val="00117BDE"/>
    <w:rsid w:val="00122E27"/>
    <w:rsid w:val="00125713"/>
    <w:rsid w:val="0013404C"/>
    <w:rsid w:val="00141160"/>
    <w:rsid w:val="0014211F"/>
    <w:rsid w:val="001452E9"/>
    <w:rsid w:val="00146B7B"/>
    <w:rsid w:val="0015000A"/>
    <w:rsid w:val="00151870"/>
    <w:rsid w:val="00151DAA"/>
    <w:rsid w:val="00157F21"/>
    <w:rsid w:val="001644DA"/>
    <w:rsid w:val="00165867"/>
    <w:rsid w:val="001677CD"/>
    <w:rsid w:val="001715B9"/>
    <w:rsid w:val="00182BF8"/>
    <w:rsid w:val="00182E33"/>
    <w:rsid w:val="00184CC4"/>
    <w:rsid w:val="00187B37"/>
    <w:rsid w:val="00193A63"/>
    <w:rsid w:val="0019504D"/>
    <w:rsid w:val="00195FE4"/>
    <w:rsid w:val="001971F6"/>
    <w:rsid w:val="001972F6"/>
    <w:rsid w:val="00197BA7"/>
    <w:rsid w:val="001A3B56"/>
    <w:rsid w:val="001A5C0D"/>
    <w:rsid w:val="001B409A"/>
    <w:rsid w:val="001B4992"/>
    <w:rsid w:val="001C0CCE"/>
    <w:rsid w:val="001C1372"/>
    <w:rsid w:val="001D1387"/>
    <w:rsid w:val="001E1F1B"/>
    <w:rsid w:val="001E3659"/>
    <w:rsid w:val="001E4FFB"/>
    <w:rsid w:val="001E61A7"/>
    <w:rsid w:val="001F23EF"/>
    <w:rsid w:val="001F36AD"/>
    <w:rsid w:val="00203A3C"/>
    <w:rsid w:val="002059AB"/>
    <w:rsid w:val="00211D84"/>
    <w:rsid w:val="00211E2E"/>
    <w:rsid w:val="0021244A"/>
    <w:rsid w:val="00213B24"/>
    <w:rsid w:val="00215A4A"/>
    <w:rsid w:val="00216272"/>
    <w:rsid w:val="00220568"/>
    <w:rsid w:val="00221A86"/>
    <w:rsid w:val="00224D5A"/>
    <w:rsid w:val="00231EC6"/>
    <w:rsid w:val="0023417A"/>
    <w:rsid w:val="0023708E"/>
    <w:rsid w:val="00241483"/>
    <w:rsid w:val="002417F0"/>
    <w:rsid w:val="00242F0F"/>
    <w:rsid w:val="00243F02"/>
    <w:rsid w:val="00250A74"/>
    <w:rsid w:val="00250D55"/>
    <w:rsid w:val="0025128F"/>
    <w:rsid w:val="00251F98"/>
    <w:rsid w:val="00257B15"/>
    <w:rsid w:val="00264F33"/>
    <w:rsid w:val="00267FA0"/>
    <w:rsid w:val="00270FD4"/>
    <w:rsid w:val="00271C03"/>
    <w:rsid w:val="00271DA0"/>
    <w:rsid w:val="002737A8"/>
    <w:rsid w:val="0027391D"/>
    <w:rsid w:val="002762F3"/>
    <w:rsid w:val="00280E26"/>
    <w:rsid w:val="0028285F"/>
    <w:rsid w:val="00283899"/>
    <w:rsid w:val="00284D9C"/>
    <w:rsid w:val="00292046"/>
    <w:rsid w:val="00292115"/>
    <w:rsid w:val="002929F5"/>
    <w:rsid w:val="0029398D"/>
    <w:rsid w:val="002967C0"/>
    <w:rsid w:val="00297D24"/>
    <w:rsid w:val="002A16F2"/>
    <w:rsid w:val="002A304B"/>
    <w:rsid w:val="002A5CFF"/>
    <w:rsid w:val="002B1F6C"/>
    <w:rsid w:val="002B5127"/>
    <w:rsid w:val="002C2DDB"/>
    <w:rsid w:val="002C69F7"/>
    <w:rsid w:val="002D56D6"/>
    <w:rsid w:val="002D5ACA"/>
    <w:rsid w:val="002D766C"/>
    <w:rsid w:val="002E2093"/>
    <w:rsid w:val="002E2A14"/>
    <w:rsid w:val="002E312C"/>
    <w:rsid w:val="002E609A"/>
    <w:rsid w:val="002E616D"/>
    <w:rsid w:val="002F7379"/>
    <w:rsid w:val="002F7D24"/>
    <w:rsid w:val="002F7E3C"/>
    <w:rsid w:val="00300FC6"/>
    <w:rsid w:val="00302E1E"/>
    <w:rsid w:val="00304038"/>
    <w:rsid w:val="00313199"/>
    <w:rsid w:val="00314D65"/>
    <w:rsid w:val="00315445"/>
    <w:rsid w:val="00317281"/>
    <w:rsid w:val="003221EA"/>
    <w:rsid w:val="00325176"/>
    <w:rsid w:val="003277F3"/>
    <w:rsid w:val="00327D9A"/>
    <w:rsid w:val="00334D8B"/>
    <w:rsid w:val="00335F8F"/>
    <w:rsid w:val="00337C52"/>
    <w:rsid w:val="0034025E"/>
    <w:rsid w:val="003408B5"/>
    <w:rsid w:val="00345826"/>
    <w:rsid w:val="00346767"/>
    <w:rsid w:val="0034676A"/>
    <w:rsid w:val="00353A62"/>
    <w:rsid w:val="00354349"/>
    <w:rsid w:val="00354E6F"/>
    <w:rsid w:val="00356455"/>
    <w:rsid w:val="00361BC7"/>
    <w:rsid w:val="00366B8A"/>
    <w:rsid w:val="00371355"/>
    <w:rsid w:val="00372658"/>
    <w:rsid w:val="00375CA0"/>
    <w:rsid w:val="00375D10"/>
    <w:rsid w:val="003766B4"/>
    <w:rsid w:val="00380521"/>
    <w:rsid w:val="00380CC8"/>
    <w:rsid w:val="00382F95"/>
    <w:rsid w:val="00386DD7"/>
    <w:rsid w:val="00390094"/>
    <w:rsid w:val="003923DC"/>
    <w:rsid w:val="00396646"/>
    <w:rsid w:val="003977E0"/>
    <w:rsid w:val="003A15D6"/>
    <w:rsid w:val="003A1857"/>
    <w:rsid w:val="003A404A"/>
    <w:rsid w:val="003A5936"/>
    <w:rsid w:val="003B0373"/>
    <w:rsid w:val="003C110E"/>
    <w:rsid w:val="003C4B51"/>
    <w:rsid w:val="003C5BB7"/>
    <w:rsid w:val="003C6B9F"/>
    <w:rsid w:val="003C6FFF"/>
    <w:rsid w:val="003D0871"/>
    <w:rsid w:val="003D16D5"/>
    <w:rsid w:val="003D267A"/>
    <w:rsid w:val="003D2986"/>
    <w:rsid w:val="003D3BCF"/>
    <w:rsid w:val="003D4BF0"/>
    <w:rsid w:val="003D7C30"/>
    <w:rsid w:val="003E028B"/>
    <w:rsid w:val="003E3C47"/>
    <w:rsid w:val="003F2016"/>
    <w:rsid w:val="003F48BA"/>
    <w:rsid w:val="003F5F12"/>
    <w:rsid w:val="00400239"/>
    <w:rsid w:val="004006D9"/>
    <w:rsid w:val="00400E62"/>
    <w:rsid w:val="004021A6"/>
    <w:rsid w:val="00402A8F"/>
    <w:rsid w:val="004047B0"/>
    <w:rsid w:val="004053F0"/>
    <w:rsid w:val="00406A1D"/>
    <w:rsid w:val="00414108"/>
    <w:rsid w:val="004214E8"/>
    <w:rsid w:val="004224E1"/>
    <w:rsid w:val="0042571C"/>
    <w:rsid w:val="004270C1"/>
    <w:rsid w:val="004339BD"/>
    <w:rsid w:val="0043535A"/>
    <w:rsid w:val="00435F3C"/>
    <w:rsid w:val="00437391"/>
    <w:rsid w:val="0044386F"/>
    <w:rsid w:val="00444F03"/>
    <w:rsid w:val="00452794"/>
    <w:rsid w:val="00454D84"/>
    <w:rsid w:val="00457DFE"/>
    <w:rsid w:val="004759F5"/>
    <w:rsid w:val="00476634"/>
    <w:rsid w:val="00476A5E"/>
    <w:rsid w:val="004777B7"/>
    <w:rsid w:val="004934AB"/>
    <w:rsid w:val="004A097D"/>
    <w:rsid w:val="004A1C89"/>
    <w:rsid w:val="004A5A35"/>
    <w:rsid w:val="004B2311"/>
    <w:rsid w:val="004B3B99"/>
    <w:rsid w:val="004C3351"/>
    <w:rsid w:val="004C3ACF"/>
    <w:rsid w:val="004D5B08"/>
    <w:rsid w:val="004D5F33"/>
    <w:rsid w:val="004D6617"/>
    <w:rsid w:val="004E24D1"/>
    <w:rsid w:val="004F1678"/>
    <w:rsid w:val="004F1FBC"/>
    <w:rsid w:val="004F2D93"/>
    <w:rsid w:val="0050228F"/>
    <w:rsid w:val="0050401C"/>
    <w:rsid w:val="00504C32"/>
    <w:rsid w:val="00505BBA"/>
    <w:rsid w:val="00506B2F"/>
    <w:rsid w:val="00507CC0"/>
    <w:rsid w:val="0051413F"/>
    <w:rsid w:val="00516CF0"/>
    <w:rsid w:val="00523476"/>
    <w:rsid w:val="00524CEE"/>
    <w:rsid w:val="005251D0"/>
    <w:rsid w:val="00525CBD"/>
    <w:rsid w:val="005267AD"/>
    <w:rsid w:val="005274C1"/>
    <w:rsid w:val="005306CA"/>
    <w:rsid w:val="005351F6"/>
    <w:rsid w:val="0054281E"/>
    <w:rsid w:val="00545284"/>
    <w:rsid w:val="00545F2F"/>
    <w:rsid w:val="00546821"/>
    <w:rsid w:val="005500E4"/>
    <w:rsid w:val="00560EF9"/>
    <w:rsid w:val="0056201C"/>
    <w:rsid w:val="00567599"/>
    <w:rsid w:val="005778D3"/>
    <w:rsid w:val="005802EF"/>
    <w:rsid w:val="00582969"/>
    <w:rsid w:val="005863CE"/>
    <w:rsid w:val="005928C5"/>
    <w:rsid w:val="00593201"/>
    <w:rsid w:val="005935A9"/>
    <w:rsid w:val="005941C0"/>
    <w:rsid w:val="00594E60"/>
    <w:rsid w:val="00596E6D"/>
    <w:rsid w:val="0059791B"/>
    <w:rsid w:val="005A4067"/>
    <w:rsid w:val="005A64C0"/>
    <w:rsid w:val="005A7546"/>
    <w:rsid w:val="005B3E2B"/>
    <w:rsid w:val="005B7E15"/>
    <w:rsid w:val="005C2D4A"/>
    <w:rsid w:val="005C5366"/>
    <w:rsid w:val="005C573C"/>
    <w:rsid w:val="005C7A46"/>
    <w:rsid w:val="005C7B5B"/>
    <w:rsid w:val="005D2F8E"/>
    <w:rsid w:val="005D34CF"/>
    <w:rsid w:val="005E282D"/>
    <w:rsid w:val="005E2C8A"/>
    <w:rsid w:val="005E3A83"/>
    <w:rsid w:val="005E5504"/>
    <w:rsid w:val="005E5DAB"/>
    <w:rsid w:val="005E71E2"/>
    <w:rsid w:val="005E7C61"/>
    <w:rsid w:val="005F0842"/>
    <w:rsid w:val="005F3E6F"/>
    <w:rsid w:val="005F4172"/>
    <w:rsid w:val="005F44FC"/>
    <w:rsid w:val="005F49F3"/>
    <w:rsid w:val="0060219A"/>
    <w:rsid w:val="00602C8C"/>
    <w:rsid w:val="00602FFB"/>
    <w:rsid w:val="006031E9"/>
    <w:rsid w:val="00604A5D"/>
    <w:rsid w:val="00610B88"/>
    <w:rsid w:val="00611783"/>
    <w:rsid w:val="00611DAA"/>
    <w:rsid w:val="00615372"/>
    <w:rsid w:val="00617A7B"/>
    <w:rsid w:val="006218A6"/>
    <w:rsid w:val="0062197C"/>
    <w:rsid w:val="00626855"/>
    <w:rsid w:val="00630DA3"/>
    <w:rsid w:val="0063493B"/>
    <w:rsid w:val="00636F48"/>
    <w:rsid w:val="006375DD"/>
    <w:rsid w:val="006402E1"/>
    <w:rsid w:val="006407FD"/>
    <w:rsid w:val="00641A8E"/>
    <w:rsid w:val="00643F1C"/>
    <w:rsid w:val="006463C8"/>
    <w:rsid w:val="00650317"/>
    <w:rsid w:val="00654BA3"/>
    <w:rsid w:val="006573E9"/>
    <w:rsid w:val="0065793A"/>
    <w:rsid w:val="00666E2F"/>
    <w:rsid w:val="0067006A"/>
    <w:rsid w:val="006750F8"/>
    <w:rsid w:val="0067760B"/>
    <w:rsid w:val="00680A24"/>
    <w:rsid w:val="00680ECC"/>
    <w:rsid w:val="0068131B"/>
    <w:rsid w:val="00693256"/>
    <w:rsid w:val="006941BD"/>
    <w:rsid w:val="006963CA"/>
    <w:rsid w:val="006A77EC"/>
    <w:rsid w:val="006B1C22"/>
    <w:rsid w:val="006B680F"/>
    <w:rsid w:val="006C0146"/>
    <w:rsid w:val="006C0441"/>
    <w:rsid w:val="006C2AD1"/>
    <w:rsid w:val="006C72A2"/>
    <w:rsid w:val="006C761F"/>
    <w:rsid w:val="006D116D"/>
    <w:rsid w:val="006D6E76"/>
    <w:rsid w:val="006E29E4"/>
    <w:rsid w:val="006E5B23"/>
    <w:rsid w:val="006F6C77"/>
    <w:rsid w:val="0070085F"/>
    <w:rsid w:val="00702E46"/>
    <w:rsid w:val="00703709"/>
    <w:rsid w:val="00707C6D"/>
    <w:rsid w:val="0072468A"/>
    <w:rsid w:val="007336F3"/>
    <w:rsid w:val="00734469"/>
    <w:rsid w:val="0073700D"/>
    <w:rsid w:val="00737200"/>
    <w:rsid w:val="00737324"/>
    <w:rsid w:val="0074017E"/>
    <w:rsid w:val="00740629"/>
    <w:rsid w:val="00741CC7"/>
    <w:rsid w:val="007421FC"/>
    <w:rsid w:val="00742232"/>
    <w:rsid w:val="0074346E"/>
    <w:rsid w:val="00743F2C"/>
    <w:rsid w:val="007469C0"/>
    <w:rsid w:val="0075772E"/>
    <w:rsid w:val="0076165B"/>
    <w:rsid w:val="00763D6A"/>
    <w:rsid w:val="007660CB"/>
    <w:rsid w:val="007679E4"/>
    <w:rsid w:val="00776E8D"/>
    <w:rsid w:val="00787557"/>
    <w:rsid w:val="00787AF8"/>
    <w:rsid w:val="007952ED"/>
    <w:rsid w:val="007A085D"/>
    <w:rsid w:val="007A13DC"/>
    <w:rsid w:val="007A3F97"/>
    <w:rsid w:val="007B2F62"/>
    <w:rsid w:val="007C4AB5"/>
    <w:rsid w:val="007C5B42"/>
    <w:rsid w:val="007D2964"/>
    <w:rsid w:val="007D3450"/>
    <w:rsid w:val="007E00FD"/>
    <w:rsid w:val="007E0953"/>
    <w:rsid w:val="007E3472"/>
    <w:rsid w:val="007E3CB7"/>
    <w:rsid w:val="007E7D23"/>
    <w:rsid w:val="007F1DE7"/>
    <w:rsid w:val="007F2753"/>
    <w:rsid w:val="007F2D1A"/>
    <w:rsid w:val="007F6EC9"/>
    <w:rsid w:val="00805AB2"/>
    <w:rsid w:val="008121EF"/>
    <w:rsid w:val="00812EF8"/>
    <w:rsid w:val="008147D1"/>
    <w:rsid w:val="008168E5"/>
    <w:rsid w:val="00822672"/>
    <w:rsid w:val="0082382C"/>
    <w:rsid w:val="00824C65"/>
    <w:rsid w:val="008258E3"/>
    <w:rsid w:val="00826558"/>
    <w:rsid w:val="00830E88"/>
    <w:rsid w:val="0083121E"/>
    <w:rsid w:val="00834DC5"/>
    <w:rsid w:val="00841C94"/>
    <w:rsid w:val="00843814"/>
    <w:rsid w:val="00844737"/>
    <w:rsid w:val="008458D6"/>
    <w:rsid w:val="00845CA2"/>
    <w:rsid w:val="00846515"/>
    <w:rsid w:val="00851654"/>
    <w:rsid w:val="00851CAE"/>
    <w:rsid w:val="0085306F"/>
    <w:rsid w:val="00853082"/>
    <w:rsid w:val="00854B48"/>
    <w:rsid w:val="00856CF1"/>
    <w:rsid w:val="0085733C"/>
    <w:rsid w:val="00857B6E"/>
    <w:rsid w:val="00857E9D"/>
    <w:rsid w:val="00860B0B"/>
    <w:rsid w:val="0086575D"/>
    <w:rsid w:val="00865ACB"/>
    <w:rsid w:val="00866D19"/>
    <w:rsid w:val="008703E2"/>
    <w:rsid w:val="00873545"/>
    <w:rsid w:val="00880F29"/>
    <w:rsid w:val="008849CF"/>
    <w:rsid w:val="0089371A"/>
    <w:rsid w:val="008942EA"/>
    <w:rsid w:val="00896921"/>
    <w:rsid w:val="008A4EA2"/>
    <w:rsid w:val="008A7B11"/>
    <w:rsid w:val="008B02B3"/>
    <w:rsid w:val="008B0DBE"/>
    <w:rsid w:val="008B40DE"/>
    <w:rsid w:val="008B6CC8"/>
    <w:rsid w:val="008C1482"/>
    <w:rsid w:val="008C26AD"/>
    <w:rsid w:val="008C2778"/>
    <w:rsid w:val="008C39B4"/>
    <w:rsid w:val="008C6AA8"/>
    <w:rsid w:val="008D2A09"/>
    <w:rsid w:val="008D6ADC"/>
    <w:rsid w:val="008E160A"/>
    <w:rsid w:val="008E678B"/>
    <w:rsid w:val="008F4359"/>
    <w:rsid w:val="008F5BC7"/>
    <w:rsid w:val="00901EE6"/>
    <w:rsid w:val="009045AF"/>
    <w:rsid w:val="00912538"/>
    <w:rsid w:val="00924EDA"/>
    <w:rsid w:val="00932994"/>
    <w:rsid w:val="00932AFD"/>
    <w:rsid w:val="00932F61"/>
    <w:rsid w:val="0093349B"/>
    <w:rsid w:val="0093595E"/>
    <w:rsid w:val="00941883"/>
    <w:rsid w:val="00942270"/>
    <w:rsid w:val="009425A4"/>
    <w:rsid w:val="009471CF"/>
    <w:rsid w:val="00951EC0"/>
    <w:rsid w:val="00954B01"/>
    <w:rsid w:val="009678A3"/>
    <w:rsid w:val="00973DEA"/>
    <w:rsid w:val="009857EB"/>
    <w:rsid w:val="0098630D"/>
    <w:rsid w:val="00986809"/>
    <w:rsid w:val="00986A62"/>
    <w:rsid w:val="00987651"/>
    <w:rsid w:val="00993DC8"/>
    <w:rsid w:val="00994494"/>
    <w:rsid w:val="00996936"/>
    <w:rsid w:val="009A273A"/>
    <w:rsid w:val="009A33B9"/>
    <w:rsid w:val="009B2722"/>
    <w:rsid w:val="009B63AA"/>
    <w:rsid w:val="009B7242"/>
    <w:rsid w:val="009C195F"/>
    <w:rsid w:val="009C2E2A"/>
    <w:rsid w:val="009C391F"/>
    <w:rsid w:val="009C4B7D"/>
    <w:rsid w:val="009C68ED"/>
    <w:rsid w:val="009D45C1"/>
    <w:rsid w:val="009D6408"/>
    <w:rsid w:val="009D762C"/>
    <w:rsid w:val="009D7AED"/>
    <w:rsid w:val="009E10A5"/>
    <w:rsid w:val="009F2A28"/>
    <w:rsid w:val="00A04B75"/>
    <w:rsid w:val="00A06E3D"/>
    <w:rsid w:val="00A06F87"/>
    <w:rsid w:val="00A101E2"/>
    <w:rsid w:val="00A171AE"/>
    <w:rsid w:val="00A21243"/>
    <w:rsid w:val="00A24EDB"/>
    <w:rsid w:val="00A2682B"/>
    <w:rsid w:val="00A30658"/>
    <w:rsid w:val="00A3490D"/>
    <w:rsid w:val="00A35D1D"/>
    <w:rsid w:val="00A40816"/>
    <w:rsid w:val="00A426AC"/>
    <w:rsid w:val="00A45261"/>
    <w:rsid w:val="00A50041"/>
    <w:rsid w:val="00A53F53"/>
    <w:rsid w:val="00A54483"/>
    <w:rsid w:val="00A6260B"/>
    <w:rsid w:val="00A65F8D"/>
    <w:rsid w:val="00A66CE7"/>
    <w:rsid w:val="00A724CD"/>
    <w:rsid w:val="00A72583"/>
    <w:rsid w:val="00A7310C"/>
    <w:rsid w:val="00A73F5C"/>
    <w:rsid w:val="00A76339"/>
    <w:rsid w:val="00A82564"/>
    <w:rsid w:val="00A87A73"/>
    <w:rsid w:val="00A909A0"/>
    <w:rsid w:val="00A90A92"/>
    <w:rsid w:val="00A92A20"/>
    <w:rsid w:val="00A94C68"/>
    <w:rsid w:val="00A96DCB"/>
    <w:rsid w:val="00A978FF"/>
    <w:rsid w:val="00AA013D"/>
    <w:rsid w:val="00AB0D54"/>
    <w:rsid w:val="00AB323F"/>
    <w:rsid w:val="00AB3F5E"/>
    <w:rsid w:val="00AC1EDD"/>
    <w:rsid w:val="00AC2B32"/>
    <w:rsid w:val="00AC4043"/>
    <w:rsid w:val="00AC4268"/>
    <w:rsid w:val="00AC7492"/>
    <w:rsid w:val="00AD0D3A"/>
    <w:rsid w:val="00AD2D3E"/>
    <w:rsid w:val="00AD68B1"/>
    <w:rsid w:val="00AE1F33"/>
    <w:rsid w:val="00AE34D5"/>
    <w:rsid w:val="00AE6B7F"/>
    <w:rsid w:val="00AE6D5E"/>
    <w:rsid w:val="00AF1C33"/>
    <w:rsid w:val="00AF596E"/>
    <w:rsid w:val="00AF62F8"/>
    <w:rsid w:val="00AF6335"/>
    <w:rsid w:val="00B022B0"/>
    <w:rsid w:val="00B04A71"/>
    <w:rsid w:val="00B05F61"/>
    <w:rsid w:val="00B063A9"/>
    <w:rsid w:val="00B130FF"/>
    <w:rsid w:val="00B14553"/>
    <w:rsid w:val="00B14A8B"/>
    <w:rsid w:val="00B163E2"/>
    <w:rsid w:val="00B2374A"/>
    <w:rsid w:val="00B245F2"/>
    <w:rsid w:val="00B24761"/>
    <w:rsid w:val="00B31D9E"/>
    <w:rsid w:val="00B35939"/>
    <w:rsid w:val="00B35AED"/>
    <w:rsid w:val="00B36993"/>
    <w:rsid w:val="00B45CA7"/>
    <w:rsid w:val="00B4722F"/>
    <w:rsid w:val="00B47706"/>
    <w:rsid w:val="00B50216"/>
    <w:rsid w:val="00B52171"/>
    <w:rsid w:val="00B53444"/>
    <w:rsid w:val="00B53996"/>
    <w:rsid w:val="00B573BE"/>
    <w:rsid w:val="00B575F1"/>
    <w:rsid w:val="00B604A0"/>
    <w:rsid w:val="00B604E1"/>
    <w:rsid w:val="00B61495"/>
    <w:rsid w:val="00B63002"/>
    <w:rsid w:val="00B639AF"/>
    <w:rsid w:val="00B704E9"/>
    <w:rsid w:val="00B71FD8"/>
    <w:rsid w:val="00B72136"/>
    <w:rsid w:val="00B73455"/>
    <w:rsid w:val="00B73E69"/>
    <w:rsid w:val="00B73FC4"/>
    <w:rsid w:val="00B74D9C"/>
    <w:rsid w:val="00B81F71"/>
    <w:rsid w:val="00B8283E"/>
    <w:rsid w:val="00B87EFA"/>
    <w:rsid w:val="00B933E4"/>
    <w:rsid w:val="00B938B0"/>
    <w:rsid w:val="00B95467"/>
    <w:rsid w:val="00BA251F"/>
    <w:rsid w:val="00BA4007"/>
    <w:rsid w:val="00BB07C3"/>
    <w:rsid w:val="00BB5441"/>
    <w:rsid w:val="00BB7988"/>
    <w:rsid w:val="00BB7D48"/>
    <w:rsid w:val="00BC4716"/>
    <w:rsid w:val="00BC7287"/>
    <w:rsid w:val="00BD40C3"/>
    <w:rsid w:val="00BE17D7"/>
    <w:rsid w:val="00BE2C58"/>
    <w:rsid w:val="00BE3D1D"/>
    <w:rsid w:val="00BE49FA"/>
    <w:rsid w:val="00BE685F"/>
    <w:rsid w:val="00BF0D25"/>
    <w:rsid w:val="00BF2DD0"/>
    <w:rsid w:val="00BF73B8"/>
    <w:rsid w:val="00BF77EC"/>
    <w:rsid w:val="00C00298"/>
    <w:rsid w:val="00C003EE"/>
    <w:rsid w:val="00C026DA"/>
    <w:rsid w:val="00C03A7F"/>
    <w:rsid w:val="00C03AC7"/>
    <w:rsid w:val="00C071AF"/>
    <w:rsid w:val="00C15851"/>
    <w:rsid w:val="00C17135"/>
    <w:rsid w:val="00C23611"/>
    <w:rsid w:val="00C23B6C"/>
    <w:rsid w:val="00C23BCA"/>
    <w:rsid w:val="00C300B6"/>
    <w:rsid w:val="00C33458"/>
    <w:rsid w:val="00C338AF"/>
    <w:rsid w:val="00C343C4"/>
    <w:rsid w:val="00C412C4"/>
    <w:rsid w:val="00C41A2F"/>
    <w:rsid w:val="00C424A7"/>
    <w:rsid w:val="00C4328F"/>
    <w:rsid w:val="00C45FC9"/>
    <w:rsid w:val="00C529B6"/>
    <w:rsid w:val="00C53C21"/>
    <w:rsid w:val="00C54240"/>
    <w:rsid w:val="00C54FC7"/>
    <w:rsid w:val="00C55988"/>
    <w:rsid w:val="00C579BA"/>
    <w:rsid w:val="00C64466"/>
    <w:rsid w:val="00C71B93"/>
    <w:rsid w:val="00C77B17"/>
    <w:rsid w:val="00C81AC5"/>
    <w:rsid w:val="00C82C89"/>
    <w:rsid w:val="00C8320F"/>
    <w:rsid w:val="00C87157"/>
    <w:rsid w:val="00C90094"/>
    <w:rsid w:val="00C914F5"/>
    <w:rsid w:val="00C92898"/>
    <w:rsid w:val="00CA1A30"/>
    <w:rsid w:val="00CA3BBD"/>
    <w:rsid w:val="00CA5FAF"/>
    <w:rsid w:val="00CB094C"/>
    <w:rsid w:val="00CB0C2F"/>
    <w:rsid w:val="00CB5B22"/>
    <w:rsid w:val="00CB7977"/>
    <w:rsid w:val="00CC2480"/>
    <w:rsid w:val="00CE2C3F"/>
    <w:rsid w:val="00CE3CD6"/>
    <w:rsid w:val="00CE5F3C"/>
    <w:rsid w:val="00CE647D"/>
    <w:rsid w:val="00CF44B3"/>
    <w:rsid w:val="00CF6768"/>
    <w:rsid w:val="00D01C15"/>
    <w:rsid w:val="00D11874"/>
    <w:rsid w:val="00D12DE0"/>
    <w:rsid w:val="00D16E96"/>
    <w:rsid w:val="00D35B00"/>
    <w:rsid w:val="00D41C70"/>
    <w:rsid w:val="00D51D86"/>
    <w:rsid w:val="00D52CAE"/>
    <w:rsid w:val="00D602E2"/>
    <w:rsid w:val="00D61302"/>
    <w:rsid w:val="00D63ABA"/>
    <w:rsid w:val="00D6406C"/>
    <w:rsid w:val="00D65815"/>
    <w:rsid w:val="00D7349E"/>
    <w:rsid w:val="00D74B05"/>
    <w:rsid w:val="00D773E2"/>
    <w:rsid w:val="00D81A12"/>
    <w:rsid w:val="00D830E3"/>
    <w:rsid w:val="00D87B9D"/>
    <w:rsid w:val="00D87CBD"/>
    <w:rsid w:val="00D90EB9"/>
    <w:rsid w:val="00D91F62"/>
    <w:rsid w:val="00D921FC"/>
    <w:rsid w:val="00D929FA"/>
    <w:rsid w:val="00D94A61"/>
    <w:rsid w:val="00DA0D93"/>
    <w:rsid w:val="00DA2DB7"/>
    <w:rsid w:val="00DA4736"/>
    <w:rsid w:val="00DA52A9"/>
    <w:rsid w:val="00DB2246"/>
    <w:rsid w:val="00DB2687"/>
    <w:rsid w:val="00DB2E62"/>
    <w:rsid w:val="00DB40BE"/>
    <w:rsid w:val="00DB4595"/>
    <w:rsid w:val="00DB7594"/>
    <w:rsid w:val="00DC0545"/>
    <w:rsid w:val="00DC0724"/>
    <w:rsid w:val="00DC1DF0"/>
    <w:rsid w:val="00DC359C"/>
    <w:rsid w:val="00DC39D6"/>
    <w:rsid w:val="00DC665D"/>
    <w:rsid w:val="00DC76B1"/>
    <w:rsid w:val="00DD1E7A"/>
    <w:rsid w:val="00DD467C"/>
    <w:rsid w:val="00DD6DBC"/>
    <w:rsid w:val="00DD70BD"/>
    <w:rsid w:val="00DD7968"/>
    <w:rsid w:val="00DE73A8"/>
    <w:rsid w:val="00DF41D7"/>
    <w:rsid w:val="00DF52E7"/>
    <w:rsid w:val="00DF5621"/>
    <w:rsid w:val="00DF5DC4"/>
    <w:rsid w:val="00DF657A"/>
    <w:rsid w:val="00DF675C"/>
    <w:rsid w:val="00E00BA6"/>
    <w:rsid w:val="00E01B44"/>
    <w:rsid w:val="00E052B7"/>
    <w:rsid w:val="00E056A7"/>
    <w:rsid w:val="00E066AB"/>
    <w:rsid w:val="00E07AD1"/>
    <w:rsid w:val="00E10BD1"/>
    <w:rsid w:val="00E11770"/>
    <w:rsid w:val="00E159D8"/>
    <w:rsid w:val="00E17676"/>
    <w:rsid w:val="00E256ED"/>
    <w:rsid w:val="00E25C52"/>
    <w:rsid w:val="00E32838"/>
    <w:rsid w:val="00E339EE"/>
    <w:rsid w:val="00E339F7"/>
    <w:rsid w:val="00E33A1D"/>
    <w:rsid w:val="00E37F68"/>
    <w:rsid w:val="00E40E8E"/>
    <w:rsid w:val="00E418D1"/>
    <w:rsid w:val="00E42C62"/>
    <w:rsid w:val="00E509DF"/>
    <w:rsid w:val="00E53820"/>
    <w:rsid w:val="00E56514"/>
    <w:rsid w:val="00E57551"/>
    <w:rsid w:val="00E611D7"/>
    <w:rsid w:val="00E6385D"/>
    <w:rsid w:val="00E64FDD"/>
    <w:rsid w:val="00E705A4"/>
    <w:rsid w:val="00E71B0C"/>
    <w:rsid w:val="00E80077"/>
    <w:rsid w:val="00E80A68"/>
    <w:rsid w:val="00E956F1"/>
    <w:rsid w:val="00EA0F9D"/>
    <w:rsid w:val="00EA208A"/>
    <w:rsid w:val="00EA2A70"/>
    <w:rsid w:val="00EA2B11"/>
    <w:rsid w:val="00EA3B24"/>
    <w:rsid w:val="00EA3F90"/>
    <w:rsid w:val="00EA4B5F"/>
    <w:rsid w:val="00EA57B2"/>
    <w:rsid w:val="00EA685A"/>
    <w:rsid w:val="00EB078A"/>
    <w:rsid w:val="00EB11C1"/>
    <w:rsid w:val="00EB379C"/>
    <w:rsid w:val="00EB3835"/>
    <w:rsid w:val="00EB5AF9"/>
    <w:rsid w:val="00EB7EBB"/>
    <w:rsid w:val="00EC0AB2"/>
    <w:rsid w:val="00EC391A"/>
    <w:rsid w:val="00EC4291"/>
    <w:rsid w:val="00ED0CFB"/>
    <w:rsid w:val="00ED3351"/>
    <w:rsid w:val="00ED44F0"/>
    <w:rsid w:val="00EE370B"/>
    <w:rsid w:val="00EE5D0A"/>
    <w:rsid w:val="00EE5D31"/>
    <w:rsid w:val="00EE7C95"/>
    <w:rsid w:val="00EF006E"/>
    <w:rsid w:val="00EF3255"/>
    <w:rsid w:val="00EF4F4C"/>
    <w:rsid w:val="00EF5E76"/>
    <w:rsid w:val="00EF6524"/>
    <w:rsid w:val="00EF6771"/>
    <w:rsid w:val="00F02C83"/>
    <w:rsid w:val="00F12089"/>
    <w:rsid w:val="00F1273E"/>
    <w:rsid w:val="00F12776"/>
    <w:rsid w:val="00F13301"/>
    <w:rsid w:val="00F1508E"/>
    <w:rsid w:val="00F2045D"/>
    <w:rsid w:val="00F238C0"/>
    <w:rsid w:val="00F25608"/>
    <w:rsid w:val="00F26F76"/>
    <w:rsid w:val="00F31362"/>
    <w:rsid w:val="00F31CC6"/>
    <w:rsid w:val="00F3243E"/>
    <w:rsid w:val="00F34593"/>
    <w:rsid w:val="00F35EA3"/>
    <w:rsid w:val="00F43D6F"/>
    <w:rsid w:val="00F4467B"/>
    <w:rsid w:val="00F45248"/>
    <w:rsid w:val="00F45CD3"/>
    <w:rsid w:val="00F46EA4"/>
    <w:rsid w:val="00F50989"/>
    <w:rsid w:val="00F5527B"/>
    <w:rsid w:val="00F55A8B"/>
    <w:rsid w:val="00F55D18"/>
    <w:rsid w:val="00F67AC9"/>
    <w:rsid w:val="00F7000F"/>
    <w:rsid w:val="00F71D17"/>
    <w:rsid w:val="00F7375B"/>
    <w:rsid w:val="00F767E7"/>
    <w:rsid w:val="00F76BFE"/>
    <w:rsid w:val="00F87AB7"/>
    <w:rsid w:val="00F90999"/>
    <w:rsid w:val="00F91D8D"/>
    <w:rsid w:val="00F92E40"/>
    <w:rsid w:val="00F936C5"/>
    <w:rsid w:val="00F9563E"/>
    <w:rsid w:val="00FB459C"/>
    <w:rsid w:val="00FC1EB3"/>
    <w:rsid w:val="00FC2299"/>
    <w:rsid w:val="00FC5D5B"/>
    <w:rsid w:val="00FD1C32"/>
    <w:rsid w:val="00FE10FB"/>
    <w:rsid w:val="00FE1F5C"/>
    <w:rsid w:val="00FE3CE3"/>
    <w:rsid w:val="00FE3F37"/>
    <w:rsid w:val="00FE7DCC"/>
    <w:rsid w:val="00FF1EB6"/>
    <w:rsid w:val="00FF2175"/>
    <w:rsid w:val="00FF266E"/>
    <w:rsid w:val="00FF37C9"/>
    <w:rsid w:val="00FF3DC3"/>
    <w:rsid w:val="00FF4E6C"/>
    <w:rsid w:val="00FF63FA"/>
    <w:rsid w:val="00FF6B11"/>
    <w:rsid w:val="00FF7445"/>
    <w:rsid w:val="01D408F4"/>
    <w:rsid w:val="01DD4386"/>
    <w:rsid w:val="01FA47FF"/>
    <w:rsid w:val="03366612"/>
    <w:rsid w:val="043164D2"/>
    <w:rsid w:val="049677D2"/>
    <w:rsid w:val="04E86B91"/>
    <w:rsid w:val="04EB6681"/>
    <w:rsid w:val="05A6082D"/>
    <w:rsid w:val="05C0366A"/>
    <w:rsid w:val="06DC3783"/>
    <w:rsid w:val="093F0D49"/>
    <w:rsid w:val="09B23531"/>
    <w:rsid w:val="09CF47C3"/>
    <w:rsid w:val="0A5B6907"/>
    <w:rsid w:val="0A73514E"/>
    <w:rsid w:val="0AF05E0B"/>
    <w:rsid w:val="0B9744C6"/>
    <w:rsid w:val="0BF37545"/>
    <w:rsid w:val="0CAA5354"/>
    <w:rsid w:val="0D1D61F3"/>
    <w:rsid w:val="0F0E3698"/>
    <w:rsid w:val="0FF51B86"/>
    <w:rsid w:val="101D7FFA"/>
    <w:rsid w:val="105552F6"/>
    <w:rsid w:val="111B3762"/>
    <w:rsid w:val="1156411A"/>
    <w:rsid w:val="11BF336F"/>
    <w:rsid w:val="11F0697F"/>
    <w:rsid w:val="120572AA"/>
    <w:rsid w:val="12B04A66"/>
    <w:rsid w:val="13225D05"/>
    <w:rsid w:val="140E7C96"/>
    <w:rsid w:val="141F1EA3"/>
    <w:rsid w:val="14A800EA"/>
    <w:rsid w:val="14E60C13"/>
    <w:rsid w:val="15DC3346"/>
    <w:rsid w:val="16C31566"/>
    <w:rsid w:val="17745FB8"/>
    <w:rsid w:val="18226406"/>
    <w:rsid w:val="18D21BDA"/>
    <w:rsid w:val="19322678"/>
    <w:rsid w:val="1A495ECC"/>
    <w:rsid w:val="1B666609"/>
    <w:rsid w:val="1CA4563B"/>
    <w:rsid w:val="1D5C1A72"/>
    <w:rsid w:val="1E1E4F79"/>
    <w:rsid w:val="1E5B61CE"/>
    <w:rsid w:val="202B4E25"/>
    <w:rsid w:val="20911341"/>
    <w:rsid w:val="212C10FB"/>
    <w:rsid w:val="2197576F"/>
    <w:rsid w:val="222A6EF5"/>
    <w:rsid w:val="22A95185"/>
    <w:rsid w:val="23503E27"/>
    <w:rsid w:val="23C363C4"/>
    <w:rsid w:val="24371DEE"/>
    <w:rsid w:val="25034702"/>
    <w:rsid w:val="25DA77D1"/>
    <w:rsid w:val="27541A0C"/>
    <w:rsid w:val="280C22E7"/>
    <w:rsid w:val="28812CD5"/>
    <w:rsid w:val="28B430AA"/>
    <w:rsid w:val="29347D47"/>
    <w:rsid w:val="29564161"/>
    <w:rsid w:val="299127AC"/>
    <w:rsid w:val="29DB00A1"/>
    <w:rsid w:val="2A261D85"/>
    <w:rsid w:val="2ABA427C"/>
    <w:rsid w:val="2BB05DAB"/>
    <w:rsid w:val="2CAB0320"/>
    <w:rsid w:val="2D727090"/>
    <w:rsid w:val="2D7C7508"/>
    <w:rsid w:val="2E461DE3"/>
    <w:rsid w:val="2F2110D4"/>
    <w:rsid w:val="2FEF55D3"/>
    <w:rsid w:val="306B6744"/>
    <w:rsid w:val="316B62EB"/>
    <w:rsid w:val="31AC3642"/>
    <w:rsid w:val="31D6618E"/>
    <w:rsid w:val="32201EB1"/>
    <w:rsid w:val="32313572"/>
    <w:rsid w:val="327A7C9D"/>
    <w:rsid w:val="328C4750"/>
    <w:rsid w:val="33A11C48"/>
    <w:rsid w:val="34014CC9"/>
    <w:rsid w:val="34060532"/>
    <w:rsid w:val="342E6376"/>
    <w:rsid w:val="356814A4"/>
    <w:rsid w:val="36632192"/>
    <w:rsid w:val="37ED9EF7"/>
    <w:rsid w:val="39161217"/>
    <w:rsid w:val="3BDF198E"/>
    <w:rsid w:val="3CE33B06"/>
    <w:rsid w:val="3D0754BF"/>
    <w:rsid w:val="3D5D5666"/>
    <w:rsid w:val="3D934BE4"/>
    <w:rsid w:val="3E467ACF"/>
    <w:rsid w:val="3F32667F"/>
    <w:rsid w:val="3FA263AB"/>
    <w:rsid w:val="40C559FD"/>
    <w:rsid w:val="41705D25"/>
    <w:rsid w:val="42554B5E"/>
    <w:rsid w:val="42D068DB"/>
    <w:rsid w:val="43087E22"/>
    <w:rsid w:val="43505326"/>
    <w:rsid w:val="44670B79"/>
    <w:rsid w:val="451C7579"/>
    <w:rsid w:val="45E83F3B"/>
    <w:rsid w:val="4602752B"/>
    <w:rsid w:val="46BA42D8"/>
    <w:rsid w:val="474B4B37"/>
    <w:rsid w:val="4791488A"/>
    <w:rsid w:val="482E20D9"/>
    <w:rsid w:val="49A534E2"/>
    <w:rsid w:val="49C85CA7"/>
    <w:rsid w:val="4A5E3EAB"/>
    <w:rsid w:val="4B5F07FC"/>
    <w:rsid w:val="4BA12BC2"/>
    <w:rsid w:val="4CC50AD9"/>
    <w:rsid w:val="4D396708"/>
    <w:rsid w:val="4E79167E"/>
    <w:rsid w:val="4F351F9F"/>
    <w:rsid w:val="4FFA0770"/>
    <w:rsid w:val="503009B9"/>
    <w:rsid w:val="50357C86"/>
    <w:rsid w:val="50F33EC0"/>
    <w:rsid w:val="51646B6C"/>
    <w:rsid w:val="51E14C9C"/>
    <w:rsid w:val="528565DF"/>
    <w:rsid w:val="52CA29FF"/>
    <w:rsid w:val="56F1208A"/>
    <w:rsid w:val="576176AA"/>
    <w:rsid w:val="578810DA"/>
    <w:rsid w:val="57F4655A"/>
    <w:rsid w:val="583848AE"/>
    <w:rsid w:val="584067C4"/>
    <w:rsid w:val="5A2E712E"/>
    <w:rsid w:val="5A583D57"/>
    <w:rsid w:val="5A5F4374"/>
    <w:rsid w:val="5CD54DC2"/>
    <w:rsid w:val="5EA558D6"/>
    <w:rsid w:val="5EE40596"/>
    <w:rsid w:val="5EEB1990"/>
    <w:rsid w:val="60200102"/>
    <w:rsid w:val="602E4C16"/>
    <w:rsid w:val="60AD570E"/>
    <w:rsid w:val="60C2740B"/>
    <w:rsid w:val="614E7A33"/>
    <w:rsid w:val="6220263B"/>
    <w:rsid w:val="62864468"/>
    <w:rsid w:val="6354507D"/>
    <w:rsid w:val="635D78BF"/>
    <w:rsid w:val="6522491C"/>
    <w:rsid w:val="65225F0A"/>
    <w:rsid w:val="66903B07"/>
    <w:rsid w:val="66EC3434"/>
    <w:rsid w:val="678371C8"/>
    <w:rsid w:val="67C1041C"/>
    <w:rsid w:val="67FF0F45"/>
    <w:rsid w:val="68662B93"/>
    <w:rsid w:val="68D26502"/>
    <w:rsid w:val="695A13CD"/>
    <w:rsid w:val="696D4490"/>
    <w:rsid w:val="6AE82164"/>
    <w:rsid w:val="6AFF8772"/>
    <w:rsid w:val="6BC32289"/>
    <w:rsid w:val="6C5C6966"/>
    <w:rsid w:val="6D9675B9"/>
    <w:rsid w:val="6E1E0704"/>
    <w:rsid w:val="6E9126F0"/>
    <w:rsid w:val="6FA32FA5"/>
    <w:rsid w:val="71494FDF"/>
    <w:rsid w:val="7249040E"/>
    <w:rsid w:val="72E72D01"/>
    <w:rsid w:val="73127C1F"/>
    <w:rsid w:val="737E5413"/>
    <w:rsid w:val="74B12652"/>
    <w:rsid w:val="75B505CB"/>
    <w:rsid w:val="769361BC"/>
    <w:rsid w:val="76B52816"/>
    <w:rsid w:val="76F1559B"/>
    <w:rsid w:val="777B763C"/>
    <w:rsid w:val="77C81F4D"/>
    <w:rsid w:val="78613FBD"/>
    <w:rsid w:val="786B5373"/>
    <w:rsid w:val="787212BF"/>
    <w:rsid w:val="78F227FE"/>
    <w:rsid w:val="79507E8B"/>
    <w:rsid w:val="79535D1B"/>
    <w:rsid w:val="7B020843"/>
    <w:rsid w:val="7B0617F3"/>
    <w:rsid w:val="7BE44D35"/>
    <w:rsid w:val="7C887B48"/>
    <w:rsid w:val="7C9A1B27"/>
    <w:rsid w:val="7D434878"/>
    <w:rsid w:val="7DD24CD9"/>
    <w:rsid w:val="7DD30460"/>
    <w:rsid w:val="7DF21139"/>
    <w:rsid w:val="7E307C52"/>
    <w:rsid w:val="7EB7C065"/>
    <w:rsid w:val="7EED1AF1"/>
    <w:rsid w:val="7F400790"/>
    <w:rsid w:val="AFFE82A9"/>
    <w:rsid w:val="BD8D2D8A"/>
    <w:rsid w:val="CCE968E9"/>
    <w:rsid w:val="F3CB531D"/>
    <w:rsid w:val="F5BE8CB0"/>
    <w:rsid w:val="FEFA9CE5"/>
    <w:rsid w:val="FF430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zh-TW" w:eastAsia="zh-TW" w:bidi="zh-TW"/>
    </w:rPr>
  </w:style>
  <w:style w:type="paragraph" w:styleId="2">
    <w:name w:val="heading 1"/>
    <w:basedOn w:val="1"/>
    <w:next w:val="1"/>
    <w:link w:val="32"/>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5"/>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6"/>
    <w:semiHidden/>
    <w:unhideWhenUsed/>
    <w:qFormat/>
    <w:uiPriority w:val="0"/>
    <w:pPr>
      <w:keepNext/>
      <w:keepLines/>
      <w:spacing w:before="260" w:after="260" w:line="416" w:lineRule="auto"/>
      <w:outlineLvl w:val="2"/>
    </w:pPr>
    <w:rPr>
      <w:b/>
      <w:bCs/>
      <w:sz w:val="32"/>
      <w:szCs w:val="32"/>
    </w:rPr>
  </w:style>
  <w:style w:type="paragraph" w:styleId="5">
    <w:name w:val="heading 4"/>
    <w:basedOn w:val="1"/>
    <w:next w:val="1"/>
    <w:link w:val="38"/>
    <w:semiHidden/>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23">
    <w:name w:val="Default Paragraph Font"/>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autoRedefine/>
    <w:unhideWhenUsed/>
    <w:qFormat/>
    <w:uiPriority w:val="39"/>
    <w:pPr>
      <w:autoSpaceDE/>
      <w:autoSpaceDN/>
      <w:spacing w:after="160" w:line="278" w:lineRule="auto"/>
      <w:ind w:left="2520" w:leftChars="1200"/>
    </w:pPr>
    <w:rPr>
      <w:rFonts w:asciiTheme="minorHAnsi" w:hAnsiTheme="minorHAnsi" w:eastAsiaTheme="minorEastAsia" w:cstheme="minorBidi"/>
      <w:kern w:val="2"/>
      <w:szCs w:val="24"/>
      <w:lang w:val="en-US" w:eastAsia="zh-CN" w:bidi="ar-SA"/>
      <w14:ligatures w14:val="standardContextual"/>
    </w:rPr>
  </w:style>
  <w:style w:type="paragraph" w:styleId="7">
    <w:name w:val="annotation text"/>
    <w:basedOn w:val="1"/>
    <w:link w:val="40"/>
    <w:qFormat/>
    <w:uiPriority w:val="0"/>
  </w:style>
  <w:style w:type="paragraph" w:styleId="8">
    <w:name w:val="Body Text"/>
    <w:basedOn w:val="1"/>
    <w:link w:val="37"/>
    <w:qFormat/>
    <w:uiPriority w:val="1"/>
    <w:pPr>
      <w:spacing w:before="240"/>
      <w:ind w:left="120"/>
    </w:pPr>
    <w:rPr>
      <w:sz w:val="30"/>
      <w:szCs w:val="30"/>
    </w:rPr>
  </w:style>
  <w:style w:type="paragraph" w:styleId="9">
    <w:name w:val="toc 5"/>
    <w:basedOn w:val="1"/>
    <w:next w:val="1"/>
    <w:autoRedefine/>
    <w:unhideWhenUsed/>
    <w:qFormat/>
    <w:uiPriority w:val="39"/>
    <w:pPr>
      <w:autoSpaceDE/>
      <w:autoSpaceDN/>
      <w:spacing w:after="160" w:line="278" w:lineRule="auto"/>
      <w:ind w:left="1680" w:leftChars="800"/>
    </w:pPr>
    <w:rPr>
      <w:rFonts w:asciiTheme="minorHAnsi" w:hAnsiTheme="minorHAnsi" w:eastAsiaTheme="minorEastAsia" w:cstheme="minorBidi"/>
      <w:kern w:val="2"/>
      <w:szCs w:val="24"/>
      <w:lang w:val="en-US" w:eastAsia="zh-CN" w:bidi="ar-SA"/>
      <w14:ligatures w14:val="standardContextual"/>
    </w:rPr>
  </w:style>
  <w:style w:type="paragraph" w:styleId="10">
    <w:name w:val="toc 3"/>
    <w:basedOn w:val="1"/>
    <w:next w:val="1"/>
    <w:qFormat/>
    <w:uiPriority w:val="39"/>
    <w:pPr>
      <w:ind w:left="840" w:leftChars="400"/>
    </w:pPr>
  </w:style>
  <w:style w:type="paragraph" w:styleId="11">
    <w:name w:val="toc 8"/>
    <w:basedOn w:val="1"/>
    <w:next w:val="1"/>
    <w:autoRedefine/>
    <w:unhideWhenUsed/>
    <w:qFormat/>
    <w:uiPriority w:val="39"/>
    <w:pPr>
      <w:autoSpaceDE/>
      <w:autoSpaceDN/>
      <w:spacing w:after="160" w:line="278" w:lineRule="auto"/>
      <w:ind w:left="2940" w:leftChars="1400"/>
    </w:pPr>
    <w:rPr>
      <w:rFonts w:asciiTheme="minorHAnsi" w:hAnsiTheme="minorHAnsi" w:eastAsiaTheme="minorEastAsia" w:cstheme="minorBidi"/>
      <w:kern w:val="2"/>
      <w:szCs w:val="24"/>
      <w:lang w:val="en-US" w:eastAsia="zh-CN" w:bidi="ar-SA"/>
      <w14:ligatures w14:val="standardContextual"/>
    </w:rPr>
  </w:style>
  <w:style w:type="paragraph" w:styleId="12">
    <w:name w:val="footer"/>
    <w:basedOn w:val="1"/>
    <w:link w:val="30"/>
    <w:qFormat/>
    <w:uiPriority w:val="99"/>
    <w:pPr>
      <w:tabs>
        <w:tab w:val="center" w:pos="4153"/>
        <w:tab w:val="right" w:pos="8306"/>
      </w:tabs>
      <w:snapToGrid w:val="0"/>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4">
    <w:name w:val="toc 1"/>
    <w:basedOn w:val="1"/>
    <w:next w:val="1"/>
    <w:qFormat/>
    <w:uiPriority w:val="39"/>
  </w:style>
  <w:style w:type="paragraph" w:styleId="15">
    <w:name w:val="toc 4"/>
    <w:basedOn w:val="1"/>
    <w:next w:val="1"/>
    <w:autoRedefine/>
    <w:unhideWhenUsed/>
    <w:qFormat/>
    <w:uiPriority w:val="39"/>
    <w:pPr>
      <w:autoSpaceDE/>
      <w:autoSpaceDN/>
      <w:spacing w:after="160" w:line="278" w:lineRule="auto"/>
      <w:ind w:left="1260" w:leftChars="600"/>
    </w:pPr>
    <w:rPr>
      <w:rFonts w:asciiTheme="minorHAnsi" w:hAnsiTheme="minorHAnsi" w:eastAsiaTheme="minorEastAsia" w:cstheme="minorBidi"/>
      <w:kern w:val="2"/>
      <w:szCs w:val="24"/>
      <w:lang w:val="en-US" w:eastAsia="zh-CN" w:bidi="ar-SA"/>
      <w14:ligatures w14:val="standardContextual"/>
    </w:rPr>
  </w:style>
  <w:style w:type="paragraph" w:styleId="16">
    <w:name w:val="toc 6"/>
    <w:basedOn w:val="1"/>
    <w:next w:val="1"/>
    <w:autoRedefine/>
    <w:unhideWhenUsed/>
    <w:qFormat/>
    <w:uiPriority w:val="39"/>
    <w:pPr>
      <w:autoSpaceDE/>
      <w:autoSpaceDN/>
      <w:spacing w:after="160" w:line="278" w:lineRule="auto"/>
      <w:ind w:left="2100" w:leftChars="1000"/>
    </w:pPr>
    <w:rPr>
      <w:rFonts w:asciiTheme="minorHAnsi" w:hAnsiTheme="minorHAnsi" w:eastAsiaTheme="minorEastAsia" w:cstheme="minorBidi"/>
      <w:kern w:val="2"/>
      <w:szCs w:val="24"/>
      <w:lang w:val="en-US" w:eastAsia="zh-CN" w:bidi="ar-SA"/>
      <w14:ligatures w14:val="standardContextual"/>
    </w:rPr>
  </w:style>
  <w:style w:type="paragraph" w:styleId="17">
    <w:name w:val="toc 2"/>
    <w:basedOn w:val="1"/>
    <w:next w:val="1"/>
    <w:qFormat/>
    <w:uiPriority w:val="39"/>
    <w:pPr>
      <w:ind w:left="420" w:leftChars="200"/>
    </w:pPr>
  </w:style>
  <w:style w:type="paragraph" w:styleId="18">
    <w:name w:val="toc 9"/>
    <w:basedOn w:val="1"/>
    <w:next w:val="1"/>
    <w:autoRedefine/>
    <w:unhideWhenUsed/>
    <w:qFormat/>
    <w:uiPriority w:val="39"/>
    <w:pPr>
      <w:autoSpaceDE/>
      <w:autoSpaceDN/>
      <w:spacing w:after="160" w:line="278" w:lineRule="auto"/>
      <w:ind w:left="3360" w:leftChars="1600"/>
    </w:pPr>
    <w:rPr>
      <w:rFonts w:asciiTheme="minorHAnsi" w:hAnsiTheme="minorHAnsi" w:eastAsiaTheme="minorEastAsia" w:cstheme="minorBidi"/>
      <w:kern w:val="2"/>
      <w:szCs w:val="24"/>
      <w:lang w:val="en-US" w:eastAsia="zh-CN" w:bidi="ar-SA"/>
      <w14:ligatures w14:val="standardContextual"/>
    </w:rPr>
  </w:style>
  <w:style w:type="paragraph" w:styleId="19">
    <w:name w:val="Normal (Web)"/>
    <w:basedOn w:val="1"/>
    <w:qFormat/>
    <w:uiPriority w:val="0"/>
    <w:rPr>
      <w:rFonts w:ascii="Times New Roman" w:hAnsi="Times New Roman" w:cs="Times New Roman"/>
      <w:sz w:val="24"/>
      <w:szCs w:val="24"/>
    </w:rPr>
  </w:style>
  <w:style w:type="paragraph" w:styleId="20">
    <w:name w:val="annotation subject"/>
    <w:basedOn w:val="7"/>
    <w:next w:val="7"/>
    <w:link w:val="41"/>
    <w:qFormat/>
    <w:uiPriority w:val="0"/>
    <w:rPr>
      <w:b/>
      <w:bCs/>
    </w:rPr>
  </w:style>
  <w:style w:type="table" w:styleId="22">
    <w:name w:val="Table Grid"/>
    <w:basedOn w:val="2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qFormat/>
    <w:uiPriority w:val="22"/>
    <w:rPr>
      <w:b/>
      <w:bCs/>
    </w:rPr>
  </w:style>
  <w:style w:type="character" w:styleId="25">
    <w:name w:val="Hyperlink"/>
    <w:basedOn w:val="23"/>
    <w:unhideWhenUsed/>
    <w:qFormat/>
    <w:uiPriority w:val="99"/>
    <w:rPr>
      <w:color w:val="0026E5" w:themeColor="hyperlink"/>
      <w:u w:val="single"/>
      <w14:textFill>
        <w14:solidFill>
          <w14:schemeClr w14:val="hlink"/>
        </w14:solidFill>
      </w14:textFill>
    </w:rPr>
  </w:style>
  <w:style w:type="character" w:styleId="26">
    <w:name w:val="annotation reference"/>
    <w:basedOn w:val="23"/>
    <w:uiPriority w:val="0"/>
    <w:rPr>
      <w:sz w:val="21"/>
      <w:szCs w:val="21"/>
    </w:rPr>
  </w:style>
  <w:style w:type="paragraph" w:customStyle="1" w:styleId="27">
    <w:name w:val="Table Paragraph"/>
    <w:basedOn w:val="1"/>
    <w:qFormat/>
    <w:uiPriority w:val="1"/>
  </w:style>
  <w:style w:type="paragraph" w:customStyle="1" w:styleId="28">
    <w:name w:val="WPSOffice手动目录 1"/>
    <w:qFormat/>
    <w:uiPriority w:val="0"/>
    <w:rPr>
      <w:rFonts w:asciiTheme="minorHAnsi" w:hAnsiTheme="minorHAnsi" w:eastAsiaTheme="minorEastAsia" w:cstheme="minorBidi"/>
      <w:lang w:val="en-US" w:eastAsia="zh-CN" w:bidi="ar-SA"/>
    </w:rPr>
  </w:style>
  <w:style w:type="paragraph" w:styleId="29">
    <w:name w:val="List Paragraph"/>
    <w:basedOn w:val="1"/>
    <w:qFormat/>
    <w:uiPriority w:val="34"/>
    <w:pPr>
      <w:ind w:firstLine="420"/>
    </w:pPr>
  </w:style>
  <w:style w:type="character" w:customStyle="1" w:styleId="30">
    <w:name w:val="页脚 字符"/>
    <w:basedOn w:val="23"/>
    <w:link w:val="12"/>
    <w:qFormat/>
    <w:uiPriority w:val="99"/>
    <w:rPr>
      <w:rFonts w:ascii="宋体" w:hAnsi="宋体" w:eastAsia="宋体" w:cs="宋体"/>
      <w:sz w:val="18"/>
      <w:szCs w:val="22"/>
      <w:lang w:val="zh-TW" w:eastAsia="zh-TW" w:bidi="zh-TW"/>
    </w:rPr>
  </w:style>
  <w:style w:type="character" w:customStyle="1" w:styleId="31">
    <w:name w:val="未处理的提及1"/>
    <w:basedOn w:val="23"/>
    <w:semiHidden/>
    <w:unhideWhenUsed/>
    <w:qFormat/>
    <w:uiPriority w:val="99"/>
    <w:rPr>
      <w:color w:val="605E5C"/>
      <w:shd w:val="clear" w:color="auto" w:fill="E1DFDD"/>
    </w:rPr>
  </w:style>
  <w:style w:type="character" w:customStyle="1" w:styleId="32">
    <w:name w:val="标题 1 字符"/>
    <w:basedOn w:val="23"/>
    <w:link w:val="2"/>
    <w:qFormat/>
    <w:uiPriority w:val="0"/>
    <w:rPr>
      <w:rFonts w:ascii="宋体" w:hAnsi="宋体" w:eastAsia="宋体" w:cs="宋体"/>
      <w:b/>
      <w:bCs/>
      <w:kern w:val="44"/>
      <w:sz w:val="44"/>
      <w:szCs w:val="44"/>
      <w:lang w:val="zh-TW" w:eastAsia="zh-TW" w:bidi="zh-TW"/>
    </w:rPr>
  </w:style>
  <w:style w:type="paragraph" w:customStyle="1" w:styleId="33">
    <w:name w:val="TOC 标题1"/>
    <w:basedOn w:val="2"/>
    <w:next w:val="1"/>
    <w:unhideWhenUsed/>
    <w:qFormat/>
    <w:uiPriority w:val="39"/>
    <w:pPr>
      <w:widowControl/>
      <w:autoSpaceDE/>
      <w:autoSpaceDN/>
      <w:spacing w:before="240" w:after="0" w:line="259" w:lineRule="auto"/>
      <w:outlineLvl w:val="9"/>
    </w:pPr>
    <w:rPr>
      <w:rFonts w:asciiTheme="majorHAnsi" w:hAnsiTheme="majorHAnsi" w:eastAsiaTheme="majorEastAsia" w:cstheme="majorBidi"/>
      <w:b w:val="0"/>
      <w:bCs w:val="0"/>
      <w:color w:val="2E54A1" w:themeColor="accent1" w:themeShade="BF"/>
      <w:kern w:val="0"/>
      <w:sz w:val="32"/>
      <w:szCs w:val="32"/>
      <w:lang w:val="en-US" w:eastAsia="zh-CN" w:bidi="ar-SA"/>
    </w:rPr>
  </w:style>
  <w:style w:type="character" w:customStyle="1" w:styleId="34">
    <w:name w:val="未处理的提及2"/>
    <w:basedOn w:val="23"/>
    <w:semiHidden/>
    <w:unhideWhenUsed/>
    <w:qFormat/>
    <w:uiPriority w:val="99"/>
    <w:rPr>
      <w:color w:val="605E5C"/>
      <w:shd w:val="clear" w:color="auto" w:fill="E1DFDD"/>
    </w:rPr>
  </w:style>
  <w:style w:type="character" w:customStyle="1" w:styleId="35">
    <w:name w:val="标题 2 字符"/>
    <w:basedOn w:val="23"/>
    <w:link w:val="3"/>
    <w:semiHidden/>
    <w:qFormat/>
    <w:uiPriority w:val="0"/>
    <w:rPr>
      <w:rFonts w:asciiTheme="majorHAnsi" w:hAnsiTheme="majorHAnsi" w:eastAsiaTheme="majorEastAsia" w:cstheme="majorBidi"/>
      <w:b/>
      <w:bCs/>
      <w:sz w:val="32"/>
      <w:szCs w:val="32"/>
      <w:lang w:val="zh-TW" w:eastAsia="zh-TW" w:bidi="zh-TW"/>
    </w:rPr>
  </w:style>
  <w:style w:type="character" w:customStyle="1" w:styleId="36">
    <w:name w:val="标题 3 字符"/>
    <w:basedOn w:val="23"/>
    <w:link w:val="4"/>
    <w:semiHidden/>
    <w:qFormat/>
    <w:uiPriority w:val="0"/>
    <w:rPr>
      <w:rFonts w:ascii="宋体" w:hAnsi="宋体" w:eastAsia="宋体" w:cs="宋体"/>
      <w:b/>
      <w:bCs/>
      <w:sz w:val="32"/>
      <w:szCs w:val="32"/>
      <w:lang w:val="zh-TW" w:eastAsia="zh-TW" w:bidi="zh-TW"/>
    </w:rPr>
  </w:style>
  <w:style w:type="character" w:customStyle="1" w:styleId="37">
    <w:name w:val="正文文本 字符"/>
    <w:basedOn w:val="23"/>
    <w:link w:val="8"/>
    <w:qFormat/>
    <w:uiPriority w:val="1"/>
    <w:rPr>
      <w:rFonts w:ascii="宋体" w:hAnsi="宋体" w:eastAsia="宋体" w:cs="宋体"/>
      <w:sz w:val="30"/>
      <w:szCs w:val="30"/>
      <w:lang w:val="zh-TW" w:eastAsia="zh-TW" w:bidi="zh-TW"/>
    </w:rPr>
  </w:style>
  <w:style w:type="character" w:customStyle="1" w:styleId="38">
    <w:name w:val="标题 4 字符"/>
    <w:basedOn w:val="23"/>
    <w:link w:val="5"/>
    <w:semiHidden/>
    <w:qFormat/>
    <w:uiPriority w:val="0"/>
    <w:rPr>
      <w:rFonts w:asciiTheme="majorHAnsi" w:hAnsiTheme="majorHAnsi" w:eastAsiaTheme="majorEastAsia" w:cstheme="majorBidi"/>
      <w:b/>
      <w:bCs/>
      <w:sz w:val="28"/>
      <w:szCs w:val="28"/>
      <w:lang w:val="zh-TW" w:eastAsia="zh-TW" w:bidi="zh-TW"/>
    </w:rPr>
  </w:style>
  <w:style w:type="character" w:customStyle="1" w:styleId="39">
    <w:name w:val="未处理的提及3"/>
    <w:basedOn w:val="23"/>
    <w:semiHidden/>
    <w:unhideWhenUsed/>
    <w:qFormat/>
    <w:uiPriority w:val="99"/>
    <w:rPr>
      <w:color w:val="605E5C"/>
      <w:shd w:val="clear" w:color="auto" w:fill="E1DFDD"/>
    </w:rPr>
  </w:style>
  <w:style w:type="character" w:customStyle="1" w:styleId="40">
    <w:name w:val="批注文字 字符"/>
    <w:basedOn w:val="23"/>
    <w:link w:val="7"/>
    <w:uiPriority w:val="0"/>
    <w:rPr>
      <w:rFonts w:ascii="宋体" w:hAnsi="宋体" w:cs="宋体"/>
      <w:sz w:val="22"/>
      <w:szCs w:val="22"/>
      <w:lang w:val="zh-TW" w:eastAsia="zh-TW" w:bidi="zh-TW"/>
    </w:rPr>
  </w:style>
  <w:style w:type="character" w:customStyle="1" w:styleId="41">
    <w:name w:val="批注主题 字符"/>
    <w:basedOn w:val="40"/>
    <w:link w:val="20"/>
    <w:qFormat/>
    <w:uiPriority w:val="0"/>
    <w:rPr>
      <w:rFonts w:ascii="宋体" w:hAnsi="宋体" w:cs="宋体"/>
      <w:b/>
      <w:bCs/>
      <w:sz w:val="22"/>
      <w:szCs w:val="22"/>
      <w:lang w:val="zh-TW" w:eastAsia="zh-TW" w:bidi="zh-TW"/>
    </w:rPr>
  </w:style>
  <w:style w:type="character" w:customStyle="1" w:styleId="42">
    <w:name w:val="未处理的提及4"/>
    <w:basedOn w:val="23"/>
    <w:semiHidden/>
    <w:unhideWhenUsed/>
    <w:qFormat/>
    <w:uiPriority w:val="99"/>
    <w:rPr>
      <w:color w:val="605E5C"/>
      <w:shd w:val="clear" w:color="auto" w:fill="E1DFDD"/>
    </w:rPr>
  </w:style>
  <w:style w:type="character" w:customStyle="1" w:styleId="43">
    <w:name w:val="Unresolved Mention"/>
    <w:basedOn w:val="23"/>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tyleName="APA" Version="6"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67F2CB3-E2D0-4497-B174-5C30E3F4CAE8}">
  <ds:schemaRefs/>
</ds:datastoreItem>
</file>

<file path=docProps/app.xml><?xml version="1.0" encoding="utf-8"?>
<Properties xmlns="http://schemas.openxmlformats.org/officeDocument/2006/extended-properties" xmlns:vt="http://schemas.openxmlformats.org/officeDocument/2006/docPropsVTypes">
  <Template>Normal.dotm</Template>
  <Pages>223</Pages>
  <Words>16990</Words>
  <Characters>17554</Characters>
  <Lines>1068</Lines>
  <Paragraphs>300</Paragraphs>
  <TotalTime>465</TotalTime>
  <ScaleCrop>false</ScaleCrop>
  <LinksUpToDate>false</LinksUpToDate>
  <CharactersWithSpaces>17807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2026-08-03T13:46:00Z</dcterms:created>
  <dc:creator>王新刚</dc:creator>
  <cp:lastModifiedBy>王新刚</cp:lastModifiedBy>
  <cp:lastPrinted>2026-04-16T17:11:00Z</cp:lastPrinted>
  <dcterms:modified xsi:type="dcterms:W3CDTF">2026-10-20T03:36:50Z</dcterms:modified>
  <cp:revision>353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E92A5FA415EA4209B526DEA5EEA1B636_13</vt:lpwstr>
  </property>
  <property fmtid="{D5CDD505-2E9C-101B-9397-08002B2CF9AE}" pid="4" name="KSOTemplateDocerSaveRecord">
    <vt:lpwstr>eyJoZGlkIjoiMjhlMDAxYjM0NjFlNjBkYWNmYWFmNmQ4YzVlZDE3YTYiLCJ1c2VySWQiOiIyMjYzNjY2OTEifQ==</vt:lpwstr>
  </property>
</Properties>
</file>